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American Capital Agency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02503X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Samuel A. Flax</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Compliance Officer and Secretary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American Capital Strategies, Ltd.</w:t>
      </w:r>
    </w:p>
    <w:p>
      <w:pPr>
        <w:spacing w:after="0" w:line="2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2 Bethesda Metro Center, 14</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Bethesda, Maryland 20814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(301) 951-6122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jc w:val="both"/>
        <w:ind w:right="10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purposes of Section 18 of the Securities Exchange Act of 1934 (the “Act”) or otherwise subject to the liabilities of that section of the Act but shall be subject to all other provisions of the Act. (However, see the Notes.)</w:t>
      </w:r>
    </w:p>
    <w:p>
      <w:pPr>
        <w:spacing w:after="0" w:line="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NAME OF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American Capital Strategies,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80" w:hanging="184"/>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SOURCE OF FUNDS: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BK and WC</w:t>
      </w:r>
    </w:p>
    <w:p>
      <w:pPr>
        <w:spacing w:after="0" w:line="22" w:lineRule="exact"/>
        <w:rPr>
          <w:sz w:val="20"/>
          <w:szCs w:val="20"/>
          <w:color w:val="auto"/>
        </w:rPr>
      </w:pPr>
    </w:p>
    <w:p>
      <w:pPr>
        <w:ind w:left="100"/>
        <w:spacing w:after="0" w:line="207" w:lineRule="exact"/>
        <w:tabs>
          <w:tab w:leader="none" w:pos="11240" w:val="left"/>
        </w:tabs>
        <w:rPr>
          <w:sz w:val="20"/>
          <w:szCs w:val="20"/>
          <w:color w:val="auto"/>
        </w:rPr>
      </w:pPr>
      <w:r>
        <w:rPr>
          <w:rFonts w:ascii="Arial" w:cs="Arial" w:eastAsia="Arial" w:hAnsi="Arial"/>
          <w:sz w:val="18"/>
          <w:szCs w:val="18"/>
          <w:color w:val="auto"/>
        </w:rPr>
        <w:t>5 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 CITIZENSHIP OR PLACE OF ORGANIZATION: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5,000,100</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9</w:t>
            </w:r>
          </w:p>
        </w:tc>
        <w:tc>
          <w:tcPr>
            <w:tcW w:w="944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5,000,100</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AGGREGATE AMOUNT BENEFICIALLY OWNED BY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5,000,100</w:t>
      </w:r>
    </w:p>
    <w:p>
      <w:pPr>
        <w:spacing w:after="0" w:line="2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color w:val="auto"/>
        </w:rPr>
        <w:t>12 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13 PERCENT OF CLASS REPRESENTED BY AMOUNT IN ROW (11):</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14 TYPE OF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3 OF 7)</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This statement on Schedule 13D relates to the common stock, par value $0.01 per share (the “Common Stock”), of American Capital Agency Corp., a Delaware corporation (the “Issuer”). The principal executive offices of the Issuer are located at 2 Bethesda Metro Center, 14th Floor, Bethesda, Maryland 20814.</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American Capital Strategies, Ltd.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(a)-(e) American Capital Strategies, Ltd., a Delaware corporation (“ACAS”), is a publicly-traded private equity fund and alternative asset manager. ACAS’s principal executive offices are located at 2 Bethesda Metro Center, 14th Floor, Bethesda, Maryland 20814. During the last five years, ACAS (i) has not been convicted in any criminal proceeding and (ii) has not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violations with respect to such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 and Executive Officers of American Capital Strategies, Ltd.</w:t>
      </w:r>
    </w:p>
    <w:p>
      <w:pPr>
        <w:spacing w:after="0" w:line="90"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name of each director and executive officer of ACAS is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Schedule 13D and is incorporated by reference herein.</w:t>
      </w:r>
    </w:p>
    <w:p>
      <w:pPr>
        <w:spacing w:after="0" w:line="194"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address of each director and executive officer of ACAS is c/o American Capital Strategies, Ltd., 2 Bethesda Metro Center, 14th Floor, Bethesda, Maryland 20814.</w:t>
      </w:r>
    </w:p>
    <w:p>
      <w:pPr>
        <w:spacing w:after="0" w:line="131"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present principal occupation or employment of each director and executive officer of ACAS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Schedule 13D and is incorporated by reference herein.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(d)-(e) To the best knowledge of ACAS, during the last five years, none of the directors or executive officers of ACAS (a) has been convicted in any criminal proceeding or (b)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violations with respect to such laws.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Each director and executive officer of ACAS is a citizen of the United States.</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4 OF 7)</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purchase 5,000,000 shares of Common Stock for an aggregate purchase price of $100,000,000 on May 20, 2008, ACAS borrowed $90,000,000 under a $1.6 billion unsecured revolving line of credit administered by Wachovia Bank, National Association and used $10,000,0000 of its working capital. ACAS used $1,000 of its working capital to purchase 100 shares of Common Stock in January 2008.</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best knowledge of ACAS, this Item 3 is not applicable to any of the directors or executive officers of ACAS because none of them has purchased, or currently intends to purchase, any shares of Common Stock.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Pursuant to the terms a Stock Purchase Agreement, dated as of May 14, 2008 (the “Stock Purchase Agreement”), between the Issuer and ACAS, ACAS agreed to purchase 5,000,000 shares of Common Stock at $20.00 per share, subject to and concurrently with the completion of the Issuer’s initial public offering of the Common Stock (the “IPO”). On May 20, 2008, the Issuer sold (i) 10,000,000 shares of Common Stock at $20.00 per share in the IPO, and (ii) 5,000,000 shares of Common Stock at $20.00 per share to ACAS. ACAS acquired these 5,000,000 shares of Common Stock with an investment intent and not with a view to distribute these shares.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20, 2008, the Issuer and ACAS also entered into a Registration Rights Agreement (the “Registration Rights Agreement”) with respect to the shares of Common Stock owned by ACAS upon completion of the IPO. Pursuant to the Registration Rights Agreement, the Issuer granted ACAS (i) unlimited demand registration rights to have these shares registered for resale and (ii) the right to “piggy-back” these shares in registration statements that the Issuer might file in connection with any future public offering so long as the Issuer retains American Capital Agency Management, LLC as its manager pursuant to the Management Agreement (as described below). With respect to 2,500,000 of the 5,000,000 shares of Common Stock purchased by ACAS on May 20, 2008, the foregoing registration rights only apply beginning on May 20, 2011.</w:t>
      </w:r>
    </w:p>
    <w:p>
      <w:pPr>
        <w:sectPr>
          <w:pgSz w:w="11900" w:h="16838" w:orient="portrait"/>
          <w:cols w:equalWidth="0" w:num="1">
            <w:col w:w="11420"/>
          </w:cols>
          <w:pgMar w:left="240" w:top="280" w:right="239" w:bottom="1440" w:gutter="0" w:footer="0" w:header="0"/>
        </w:sectPr>
      </w:pPr>
    </w:p>
    <w:bookmarkStart w:id="4" w:name="page5"/>
    <w:bookmarkEnd w:id="4"/>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5 OF 7)</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 xml:space="preserve">The Issuer and American Capital Agency Management, LLC, a wholly-owned subsidiary of a wholly-owned portfolio company of ACAS (the “Manager”) entered into the Management Agreement on May 20, 2008 (the “Management Agreement”), pursuant to which the Manager manages the business and operations of the Issuer in exchange for a monthly base management fee and the reimbursement of certain expenses. The Management Agreement has an initial term expiring on May 20, 2011. The Management Agreement is automatically renewable for one-year terms after its initial term unless terminated by either the Issuer or the Manager. Because neither the Issuer nor the Manager have any employees or separate facilities, on May 20, 2008, the Manager and ACAS entered into an Administrative Services Agreement (the “Administrative Services Agreement”) pursuant to which (i) ACAS provides the Manager with the personnel, services and resources necessary for the Manager to perform its obligations and responsibilities under the Management Agreement, (ii) certain members of ACAS’s senior management and its Residential Mortgage-Backed Securities Investment Team serve as officers of the Manager and the Issuer, and (iii) ACAS is required to provide the Manager with the services of ACAS employees such that the Manager may provide the Issuer with a chief executive officer, chief financial officer and chief investment officer pursuant to the terms of the Management Agreement. Reference is made to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to this Schedule 13D for the name of each executive officer of ACAS who serves as an executive officer of the Issuer. If either the Issuer or the Manager elects to terminate the Management Agreement pursuant to its terms, the Administrative Services Agreement would likewise be terminated. Neither the Issuer nor the Manager may terminate the Administrative Services Agreement unless the Management Agreement has been terminated pursuant to its terms. Pursuant to the Administrative Services Agreement, ACAS may assign its rights and obligations thereunder to any of its affiliates, including American Capital, LLC, the parent company of the Manager.</w:t>
      </w:r>
    </w:p>
    <w:p>
      <w:pPr>
        <w:spacing w:after="0" w:line="10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Other than as described above, ACAS does not have any plans or proposals which relate to or would result in: (i) the acquisition by any person of additional securities of the Issuer, or the disposition of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changes in the Issuer’s charter, by-laws or other instruments corresponding thereto or other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 (ix) a class of equity securities of the Issuer becoming eligible for termination of registration pursuant to Section 12(g)(4) of the Act; or (x) any action similar to any of those enumerated above.</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6 OF 7)</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(a)-(b) As of May 20, 2008 and the date hereof, ACAS held 5,000,100 shares of Common Stock, which represents 33.3% of the number of outstanding shares of Common Stock outstanding on May 20, 2008 and the date hereof. ACAS has the sole power to vote, and to dispose of, all such shares of Common Stock.</w:t>
      </w:r>
    </w:p>
    <w:p>
      <w:pPr>
        <w:spacing w:after="0" w:line="140" w:lineRule="exact"/>
        <w:rPr>
          <w:sz w:val="20"/>
          <w:szCs w:val="20"/>
          <w:color w:val="auto"/>
        </w:rPr>
      </w:pPr>
    </w:p>
    <w:p>
      <w:pPr>
        <w:ind w:right="380" w:firstLine="464"/>
        <w:spacing w:after="0" w:line="268"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sixty (60) days preceding May 20, 2008 and the date hereof, ACAS did not purchase or otherwise acquire any shares of Common Stock other than the 5,000,000 shares of Common Stock it acquired pursuant to the Stock Purchase Agreement.</w:t>
      </w:r>
    </w:p>
    <w:p>
      <w:pPr>
        <w:spacing w:after="0" w:line="13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person other than ACAS is known to have the right to receive, or the power to direct the receipt of dividends from, or proceeds from the sale of, such shares of the Common Stock.</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best knowledge of ACAS, this Item 5 is not applicable to any of the directors or executive officers of ACAS.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There are no contracts, arrangements, understandings or relationships among ACAS and any of the directors or executive officers of ACAS, or between any of such persons and any other person, with respect to any securities of the Issuer other than the Stock Purchase Agreement and the Registration Rights Agreement, each of which is described in Item 4 of this Schedule 13D.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Stock Purchase Agreement, dated as of May 14, 2008, between the Issuer and ACAS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Registration Rights Agreement, dated as of May 20, 2008, between the Issuer and ACAS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Management Agreement, dated as of May 20, 2008, between the Issuer and the Manager</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02503X 10 5</w:t>
      </w:r>
      <w:r>
        <w:rPr>
          <w:sz w:val="20"/>
          <w:szCs w:val="20"/>
          <w:color w:val="auto"/>
        </w:rPr>
        <w:tab/>
      </w:r>
      <w:r>
        <w:rPr>
          <w:rFonts w:ascii="Arial" w:cs="Arial" w:eastAsia="Arial" w:hAnsi="Arial"/>
          <w:sz w:val="16"/>
          <w:szCs w:val="16"/>
          <w:color w:val="auto"/>
        </w:rPr>
        <w:t>(PAGE 7 OF 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29,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CAPITAL STRATEGIES, LTD.</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Samuel A. Flax</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General Counsel,</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Compliance Officer and Secretary</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Schedule A</w:t>
            </w:r>
          </w:p>
        </w:tc>
        <w:tc>
          <w:tcPr>
            <w:tcW w:w="5280" w:type="dxa"/>
            <w:vAlign w:val="bottom"/>
          </w:tcPr>
          <w:p>
            <w:pPr>
              <w:spacing w:after="0"/>
              <w:rPr>
                <w:sz w:val="17"/>
                <w:szCs w:val="17"/>
                <w:color w:val="auto"/>
              </w:rPr>
            </w:pPr>
          </w:p>
        </w:tc>
      </w:tr>
      <w:tr>
        <w:trPr>
          <w:trHeight w:val="39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500" w:type="dxa"/>
            <w:vAlign w:val="bottom"/>
            <w:gridSpan w:val="4"/>
          </w:tcPr>
          <w:p>
            <w:pPr>
              <w:jc w:val="center"/>
              <w:ind w:right="2832"/>
              <w:spacing w:after="0"/>
              <w:rPr>
                <w:sz w:val="20"/>
                <w:szCs w:val="20"/>
                <w:color w:val="auto"/>
              </w:rPr>
            </w:pPr>
            <w:r>
              <w:rPr>
                <w:rFonts w:ascii="Arial" w:cs="Arial" w:eastAsia="Arial" w:hAnsi="Arial"/>
                <w:sz w:val="18"/>
                <w:szCs w:val="18"/>
                <w:b w:val="1"/>
                <w:bCs w:val="1"/>
                <w:color w:val="auto"/>
                <w:w w:val="88"/>
              </w:rPr>
              <w:t>Directors and Executive Officers of ACAS</w:t>
            </w:r>
          </w:p>
        </w:tc>
      </w:tr>
      <w:tr>
        <w:trPr>
          <w:trHeight w:val="407"/>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ACAS Directors</w:t>
            </w:r>
          </w:p>
        </w:tc>
        <w:tc>
          <w:tcPr>
            <w:tcW w:w="1920" w:type="dxa"/>
            <w:vAlign w:val="bottom"/>
            <w:gridSpan w:val="2"/>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Principal Occupation</w:t>
            </w:r>
          </w:p>
        </w:tc>
      </w:tr>
      <w:tr>
        <w:trPr>
          <w:trHeight w:val="309"/>
        </w:trPr>
        <w:tc>
          <w:tcPr>
            <w:tcW w:w="2920" w:type="dxa"/>
            <w:vAlign w:val="bottom"/>
            <w:gridSpan w:val="3"/>
          </w:tcPr>
          <w:p>
            <w:pPr>
              <w:spacing w:after="0"/>
              <w:rPr>
                <w:sz w:val="20"/>
                <w:szCs w:val="20"/>
                <w:color w:val="auto"/>
              </w:rPr>
            </w:pPr>
            <w:r>
              <w:rPr>
                <w:rFonts w:ascii="Arial" w:cs="Arial" w:eastAsia="Arial" w:hAnsi="Arial"/>
                <w:sz w:val="18"/>
                <w:szCs w:val="18"/>
                <w:color w:val="auto"/>
              </w:rPr>
              <w:t>Malon Wilkus</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 Chairman of the Board of Directors</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American Capital Strategies, Ltd.* **</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Mary C. Baskin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Managing Director Ansley Consulting Group</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Neil M. Hahl</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General Business Consultant</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Philip R. Harper</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US Investigations Services, Inc.</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John A. Koskinen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United States Soccer Foundation</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Stan Lundine</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8"/>
              </w:rPr>
              <w:t>Of Counsel, Sotir and Goldman and Executive Director, Chautauqua</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County Health Network</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Kenneth D. Peterson, Jr.</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 Columbia Ventures Corporation</w:t>
            </w:r>
          </w:p>
        </w:tc>
      </w:tr>
      <w:tr>
        <w:trPr>
          <w:trHeight w:val="324"/>
        </w:trPr>
        <w:tc>
          <w:tcPr>
            <w:tcW w:w="2920" w:type="dxa"/>
            <w:vAlign w:val="bottom"/>
            <w:gridSpan w:val="3"/>
          </w:tcPr>
          <w:p>
            <w:pPr>
              <w:spacing w:after="0"/>
              <w:rPr>
                <w:sz w:val="20"/>
                <w:szCs w:val="20"/>
                <w:color w:val="auto"/>
              </w:rPr>
            </w:pPr>
            <w:r>
              <w:rPr>
                <w:rFonts w:ascii="Arial" w:cs="Arial" w:eastAsia="Arial" w:hAnsi="Arial"/>
                <w:sz w:val="18"/>
                <w:szCs w:val="18"/>
                <w:color w:val="auto"/>
              </w:rPr>
              <w:t>Alvin N. Puryear</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Management Consultant*</w:t>
            </w:r>
          </w:p>
        </w:tc>
      </w:tr>
      <w:tr>
        <w:trPr>
          <w:trHeight w:val="374"/>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Executive Officers</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Principal Occupation</w:t>
            </w:r>
          </w:p>
        </w:tc>
      </w:tr>
      <w:tr>
        <w:trPr>
          <w:trHeight w:val="316"/>
        </w:trPr>
        <w:tc>
          <w:tcPr>
            <w:tcW w:w="2920" w:type="dxa"/>
            <w:vAlign w:val="bottom"/>
            <w:gridSpan w:val="3"/>
          </w:tcPr>
          <w:p>
            <w:pPr>
              <w:spacing w:after="0"/>
              <w:rPr>
                <w:sz w:val="20"/>
                <w:szCs w:val="20"/>
                <w:color w:val="auto"/>
              </w:rPr>
            </w:pPr>
            <w:r>
              <w:rPr>
                <w:rFonts w:ascii="Arial" w:cs="Arial" w:eastAsia="Arial" w:hAnsi="Arial"/>
                <w:sz w:val="18"/>
                <w:szCs w:val="18"/>
                <w:color w:val="auto"/>
              </w:rPr>
              <w:t>Malon Wilkus</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 Chairman of the Board of Directors</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American Capital Strategies, Ltd.* **</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John R. Erickson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5"/>
              </w:rPr>
              <w:t>Executive Vice President and Chief Financial Officer American Capital</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Strategies, Ltd.**</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Ira J. Wagner</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Operating Officer American Capital</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Strategies, Ltd.**</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Samuel A. Flax</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Executive Vice President, General Counsel, Chief Compliance Officer and</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Secretary American Capital Strategies, Ltd.**</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Roland H. Cline</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Managing Director</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American Capital Strategies, Ltd.</w:t>
            </w:r>
          </w:p>
        </w:tc>
      </w:tr>
      <w:tr>
        <w:trPr>
          <w:trHeight w:val="331"/>
        </w:trPr>
        <w:tc>
          <w:tcPr>
            <w:tcW w:w="2920" w:type="dxa"/>
            <w:vAlign w:val="bottom"/>
            <w:gridSpan w:val="3"/>
          </w:tcPr>
          <w:p>
            <w:pPr>
              <w:spacing w:after="0"/>
              <w:rPr>
                <w:sz w:val="20"/>
                <w:szCs w:val="20"/>
                <w:color w:val="auto"/>
              </w:rPr>
            </w:pPr>
            <w:r>
              <w:rPr>
                <w:rFonts w:ascii="Arial" w:cs="Arial" w:eastAsia="Arial" w:hAnsi="Arial"/>
                <w:sz w:val="18"/>
                <w:szCs w:val="18"/>
                <w:color w:val="auto"/>
              </w:rPr>
              <w:t>Brian S. Graff</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Regional Managing Director</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American Capital Strategies, Ltd.</w:t>
            </w:r>
          </w:p>
        </w:tc>
      </w:tr>
      <w:tr>
        <w:trPr>
          <w:trHeight w:val="318"/>
        </w:trPr>
        <w:tc>
          <w:tcPr>
            <w:tcW w:w="2920" w:type="dxa"/>
            <w:vAlign w:val="bottom"/>
            <w:gridSpan w:val="3"/>
          </w:tcPr>
          <w:p>
            <w:pPr>
              <w:spacing w:after="0"/>
              <w:rPr>
                <w:sz w:val="20"/>
                <w:szCs w:val="20"/>
                <w:color w:val="auto"/>
              </w:rPr>
            </w:pPr>
            <w:r>
              <w:rPr>
                <w:rFonts w:ascii="Arial" w:cs="Arial" w:eastAsia="Arial" w:hAnsi="Arial"/>
                <w:sz w:val="18"/>
                <w:szCs w:val="18"/>
                <w:color w:val="auto"/>
              </w:rPr>
              <w:t>Gordon J. O’Brien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Managing Director</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American Capital Strategies, Ltd.</w:t>
            </w:r>
          </w:p>
        </w:tc>
      </w:tr>
      <w:tr>
        <w:trPr>
          <w:trHeight w:val="331"/>
        </w:trPr>
        <w:tc>
          <w:tcPr>
            <w:tcW w:w="2920" w:type="dxa"/>
            <w:vAlign w:val="bottom"/>
            <w:gridSpan w:val="3"/>
          </w:tcPr>
          <w:p>
            <w:pPr>
              <w:spacing w:after="0"/>
              <w:rPr>
                <w:sz w:val="20"/>
                <w:szCs w:val="20"/>
                <w:color w:val="auto"/>
              </w:rPr>
            </w:pPr>
            <w:r>
              <w:rPr>
                <w:rFonts w:ascii="Arial" w:cs="Arial" w:eastAsia="Arial" w:hAnsi="Arial"/>
                <w:sz w:val="18"/>
                <w:szCs w:val="18"/>
                <w:color w:val="auto"/>
              </w:rPr>
              <w:t>Darin R. Winn</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2"/>
              </w:rPr>
              <w:t>Senior Vice President and Regional Managing Director American Capital</w:t>
            </w:r>
          </w:p>
        </w:tc>
      </w:tr>
      <w:tr>
        <w:trPr>
          <w:trHeight w:val="222"/>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Strategies,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Also serves as a director of the Issuer.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serves as an executive officer of the Issuer.</w:t>
      </w:r>
    </w:p>
    <w:p>
      <w:pPr>
        <w:sectPr>
          <w:pgSz w:w="11900" w:h="16838" w:orient="portrait"/>
          <w:cols w:equalWidth="0" w:num="1">
            <w:col w:w="11420"/>
          </w:cols>
          <w:pgMar w:left="240" w:top="25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177"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This STOCK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14, 2008, by and among American Capital Agency Corp.,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American Capital Strategies, Ltd.,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WHEREAS, the Issuer is entering into an underwriting agreement on the date hereof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a copy of which is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with the underwriters named therein (the “</w:t>
      </w:r>
      <w:r>
        <w:rPr>
          <w:rFonts w:ascii="Arial" w:cs="Arial" w:eastAsia="Arial" w:hAnsi="Arial"/>
          <w:sz w:val="18"/>
          <w:szCs w:val="18"/>
          <w:u w:val="single" w:color="auto"/>
          <w:color w:val="auto"/>
        </w:rPr>
        <w:t>Underwriters</w:t>
      </w:r>
      <w:r>
        <w:rPr>
          <w:rFonts w:ascii="Arial" w:cs="Arial" w:eastAsia="Arial" w:hAnsi="Arial"/>
          <w:sz w:val="18"/>
          <w:szCs w:val="18"/>
          <w:color w:val="auto"/>
        </w:rPr>
        <w:t>”) pursuant to which the Issuer will, subject to the satisfaction of the terms and conditions set forth in the Underwriting Agreement, issue and sell to the Underwriters of 10,000,000 shares (the “</w:t>
      </w:r>
      <w:r>
        <w:rPr>
          <w:rFonts w:ascii="Arial" w:cs="Arial" w:eastAsia="Arial" w:hAnsi="Arial"/>
          <w:sz w:val="18"/>
          <w:szCs w:val="18"/>
          <w:u w:val="single" w:color="auto"/>
          <w:color w:val="auto"/>
        </w:rPr>
        <w:t>IPO Shares</w:t>
      </w:r>
      <w:r>
        <w:rPr>
          <w:rFonts w:ascii="Arial" w:cs="Arial" w:eastAsia="Arial" w:hAnsi="Arial"/>
          <w:sz w:val="18"/>
          <w:szCs w:val="18"/>
          <w:color w:val="auto"/>
        </w:rPr>
        <w:t>”) of common stock, par value $0.01 per share, of the Issuer (the “</w:t>
      </w:r>
      <w:r>
        <w:rPr>
          <w:rFonts w:ascii="Arial" w:cs="Arial" w:eastAsia="Arial" w:hAnsi="Arial"/>
          <w:sz w:val="18"/>
          <w:szCs w:val="18"/>
          <w:u w:val="single" w:color="auto"/>
          <w:color w:val="auto"/>
        </w:rPr>
        <w:t>Common Stock</w:t>
      </w:r>
      <w:r>
        <w:rPr>
          <w:rFonts w:ascii="Arial" w:cs="Arial" w:eastAsia="Arial" w:hAnsi="Arial"/>
          <w:sz w:val="18"/>
          <w:szCs w:val="18"/>
          <w:color w:val="auto"/>
        </w:rPr>
        <w:t>”) in connection with an offering to the public (the “</w:t>
      </w:r>
      <w:r>
        <w:rPr>
          <w:rFonts w:ascii="Arial" w:cs="Arial" w:eastAsia="Arial" w:hAnsi="Arial"/>
          <w:sz w:val="18"/>
          <w:szCs w:val="18"/>
          <w:u w:val="single" w:color="auto"/>
          <w:color w:val="auto"/>
        </w:rPr>
        <w:t>IPO</w:t>
      </w:r>
      <w:r>
        <w:rPr>
          <w:rFonts w:ascii="Arial" w:cs="Arial" w:eastAsia="Arial" w:hAnsi="Arial"/>
          <w:sz w:val="18"/>
          <w:szCs w:val="18"/>
          <w:color w:val="auto"/>
        </w:rPr>
        <w:t>”) of the IPO Shares for $20.00 per share (the “</w:t>
      </w:r>
      <w:r>
        <w:rPr>
          <w:rFonts w:ascii="Arial" w:cs="Arial" w:eastAsia="Arial" w:hAnsi="Arial"/>
          <w:sz w:val="18"/>
          <w:szCs w:val="18"/>
          <w:u w:val="single" w:color="auto"/>
          <w:color w:val="auto"/>
        </w:rPr>
        <w:t>IPO Price</w:t>
      </w:r>
      <w:r>
        <w:rPr>
          <w:rFonts w:ascii="Arial" w:cs="Arial" w:eastAsia="Arial" w:hAnsi="Arial"/>
          <w:sz w:val="18"/>
          <w:szCs w:val="18"/>
          <w:color w:val="auto"/>
        </w:rPr>
        <w:t>”); and</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subject to the consummation of the Issuer’s agreement to issue and sell the IPO Shares to the Underwriters upon the satisfaction of the terms and conditions set forth in the Underwriting Agreement, the Purchaser desires to purchase 5,000,000 shares of Common Stock at the IPO Price and the Issuer desires to issue and sell such shares to the Purchaser.</w:t>
      </w:r>
    </w:p>
    <w:p>
      <w:pPr>
        <w:spacing w:after="0" w:line="14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NOW THEREFORE, in consideration of the premises and of the mutual agreements, covenants and provisions herein contained and for good and valuable consideration, the receipt of which is hereby acknowledged, the parties hereto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Subject Shares</w:t>
      </w:r>
      <w:r>
        <w:rPr>
          <w:rFonts w:ascii="Arial" w:cs="Arial" w:eastAsia="Arial" w:hAnsi="Arial"/>
          <w:sz w:val="18"/>
          <w:szCs w:val="18"/>
          <w:color w:val="auto"/>
        </w:rPr>
        <w:t>. Subject to (a) the terms and conditions set forth in this Agreement and (b) the consummation of the Issuer’s agreement to issue and sell the IPO Shares to the Underwriters upon the satisfaction of the terms and conditions set forth in the Underwriting Agreement (the “</w:t>
      </w:r>
      <w:r>
        <w:rPr>
          <w:rFonts w:ascii="Arial" w:cs="Arial" w:eastAsia="Arial" w:hAnsi="Arial"/>
          <w:sz w:val="18"/>
          <w:szCs w:val="18"/>
          <w:u w:val="single" w:color="auto"/>
          <w:color w:val="auto"/>
        </w:rPr>
        <w:t>IPO Closing</w:t>
      </w:r>
      <w:r>
        <w:rPr>
          <w:rFonts w:ascii="Arial" w:cs="Arial" w:eastAsia="Arial" w:hAnsi="Arial"/>
          <w:sz w:val="18"/>
          <w:szCs w:val="18"/>
          <w:color w:val="auto"/>
        </w:rPr>
        <w:t>”), the Issuer agrees to issue the Purchaser 5,000,000 shares of Common Stock (the “</w:t>
      </w:r>
      <w:r>
        <w:rPr>
          <w:rFonts w:ascii="Arial" w:cs="Arial" w:eastAsia="Arial" w:hAnsi="Arial"/>
          <w:sz w:val="18"/>
          <w:szCs w:val="18"/>
          <w:u w:val="single" w:color="auto"/>
          <w:color w:val="auto"/>
        </w:rPr>
        <w:t>Subject Shares</w:t>
      </w:r>
      <w:r>
        <w:rPr>
          <w:rFonts w:ascii="Arial" w:cs="Arial" w:eastAsia="Arial" w:hAnsi="Arial"/>
          <w:sz w:val="18"/>
          <w:szCs w:val="18"/>
          <w:color w:val="auto"/>
        </w:rPr>
        <w:t>”), and the Purchaser agrees to purchase the Subject Shares for $100,000,000.00 (the “</w:t>
      </w:r>
      <w:r>
        <w:rPr>
          <w:rFonts w:ascii="Arial" w:cs="Arial" w:eastAsia="Arial" w:hAnsi="Arial"/>
          <w:sz w:val="18"/>
          <w:szCs w:val="18"/>
          <w:u w:val="single" w:color="auto"/>
          <w:color w:val="auto"/>
        </w:rPr>
        <w:t>Subject Shares Purchase Price</w:t>
      </w:r>
      <w:r>
        <w:rPr>
          <w:rFonts w:ascii="Arial" w:cs="Arial" w:eastAsia="Arial" w:hAnsi="Arial"/>
          <w:sz w:val="18"/>
          <w:szCs w:val="18"/>
          <w:color w:val="auto"/>
        </w:rPr>
        <w:t>”).</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Closing</w:t>
      </w:r>
      <w:r>
        <w:rPr>
          <w:rFonts w:ascii="Arial" w:cs="Arial" w:eastAsia="Arial" w:hAnsi="Arial"/>
          <w:sz w:val="18"/>
          <w:szCs w:val="18"/>
          <w:color w:val="auto"/>
        </w:rPr>
        <w:t>. Subject to the terms and conditions of this Agreement and the occurrence of the IPO Closing, the closing of the purchase and sale of the Subject Shares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on the date of the IPO Closing at the offices of counsel to the Issuer,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Skadden, Arps, Slate, Meagher &amp; Flom LLP located at Four Times Square, New York, New York 10036, or at such other place as the applicable parties to such closing shall agree in writing.</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at Closing</w:t>
      </w:r>
      <w:r>
        <w:rPr>
          <w:rFonts w:ascii="Arial" w:cs="Arial" w:eastAsia="Arial" w:hAnsi="Arial"/>
          <w:sz w:val="18"/>
          <w:szCs w:val="18"/>
          <w:color w:val="auto"/>
        </w:rPr>
        <w:t>. At the Closing, (a) Purchase shall deliver to Issuer the Subject Shares Purchase Price by wire transfer of immediately available funds to an account designated by the Issuer in writing by 10:30 a.m., and (b) the Issuer shall deliver certificates representing the Subject Shares to the Purchaser.</w:t>
      </w:r>
    </w:p>
    <w:p>
      <w:pPr>
        <w:spacing w:after="0" w:line="3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REPRESENTATIONS AND WARRANTIES OF THE ISSUER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Issuer represents and warrants to the Purchaser as follows:</w:t>
      </w:r>
    </w:p>
    <w:p>
      <w:pPr>
        <w:spacing w:after="0" w:line="9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 and Good Standing</w:t>
      </w:r>
      <w:r>
        <w:rPr>
          <w:rFonts w:ascii="Arial" w:cs="Arial" w:eastAsia="Arial" w:hAnsi="Arial"/>
          <w:sz w:val="18"/>
          <w:szCs w:val="18"/>
          <w:color w:val="auto"/>
        </w:rPr>
        <w:t>. The Issuer is a corporation duly incorporated, validly existing and in good standing under the jurisdiction and laws of the State of Delaware.</w:t>
      </w:r>
    </w:p>
    <w:p>
      <w:pPr>
        <w:spacing w:after="0" w:line="132"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Authorization and Validity of Agreements</w:t>
      </w:r>
      <w:r>
        <w:rPr>
          <w:rFonts w:ascii="Arial" w:cs="Arial" w:eastAsia="Arial" w:hAnsi="Arial"/>
          <w:sz w:val="16"/>
          <w:szCs w:val="16"/>
          <w:color w:val="auto"/>
        </w:rPr>
        <w:t>. The Issuer has all requisite power and authority to execute and deliver this Agreement, to perform its obligations hereunder and to consummate the transactions contemplated hereby. The execution and delivery of this Agreement, the performance by the Issuer of its obligations hereunder and the consummation of the transactions contemplated hereby have been duly authorized by all requisite corporate action of the Issuer. This Agreement constitutes a legal, valid and binding obligation of the Issuer, enforceable against the Issuer in accordance with its respective terms.</w:t>
      </w:r>
    </w:p>
    <w:p>
      <w:pPr>
        <w:spacing w:after="0" w:line="11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Conflicts; Consents</w:t>
      </w:r>
      <w:r>
        <w:rPr>
          <w:rFonts w:ascii="Arial" w:cs="Arial" w:eastAsia="Arial" w:hAnsi="Arial"/>
          <w:sz w:val="16"/>
          <w:szCs w:val="16"/>
          <w:color w:val="auto"/>
        </w:rPr>
        <w:t>. The execution, delivery and performance of this Agreement by the Issuer and the consummation by the Issuer of the transactions contemplated hereby do not and will not conflict with, contravene, result in a violation or breach of or default under (with or without the giving of notice or the lapse of time, or both), permit any party to terminate, amend or accelerate the provisions of, or result in the imposition of any claim, lien, pledge, deed of trust, option, charge, security interest, hypothecation, encumbrance, right of first offer, voting trust, proxy, right of third parties or other restriction or limitation of any nature whatsoever (each, a “</w:t>
      </w:r>
      <w:r>
        <w:rPr>
          <w:rFonts w:ascii="Arial" w:cs="Arial" w:eastAsia="Arial" w:hAnsi="Arial"/>
          <w:sz w:val="16"/>
          <w:szCs w:val="16"/>
          <w:u w:val="single" w:color="auto"/>
          <w:color w:val="auto"/>
        </w:rPr>
        <w:t>Lien</w:t>
      </w:r>
      <w:r>
        <w:rPr>
          <w:rFonts w:ascii="Arial" w:cs="Arial" w:eastAsia="Arial" w:hAnsi="Arial"/>
          <w:sz w:val="16"/>
          <w:szCs w:val="16"/>
          <w:color w:val="auto"/>
        </w:rPr>
        <w:t>”), or any obligation to create any Lien, upon any of the property or assets of the Issuer under (a) any contract, agreement, indenture, letter of credit, mortgage, security agreement, pledge agreement, deed of trust, bond, note, guarantee, surety obligation, warranty, license, franchise, permit, power of attorney, lease, instrument or other agreement (each, a “</w:t>
      </w:r>
      <w:r>
        <w:rPr>
          <w:rFonts w:ascii="Arial" w:cs="Arial" w:eastAsia="Arial" w:hAnsi="Arial"/>
          <w:sz w:val="16"/>
          <w:szCs w:val="16"/>
          <w:u w:val="single" w:color="auto"/>
          <w:color w:val="auto"/>
        </w:rPr>
        <w:t>Contract</w:t>
      </w:r>
      <w:r>
        <w:rPr>
          <w:rFonts w:ascii="Arial" w:cs="Arial" w:eastAsia="Arial" w:hAnsi="Arial"/>
          <w:sz w:val="16"/>
          <w:szCs w:val="16"/>
          <w:color w:val="auto"/>
        </w:rPr>
        <w:t>”) to which the Issuer is a party or by which any of its property or assets may be bound or (b) any provision of the organizational document of the Issuer.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0" w:name="page11"/>
    <w:bookmarkEnd w:id="10"/>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REPRESENTATIONS AND WARRANTIES OF THE PURCHASER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Purchaser represents and warrants to the Issuer as follows:</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Formation and Good Standing</w:t>
      </w:r>
      <w:r>
        <w:rPr>
          <w:rFonts w:ascii="Arial" w:cs="Arial" w:eastAsia="Arial" w:hAnsi="Arial"/>
          <w:sz w:val="18"/>
          <w:szCs w:val="18"/>
          <w:color w:val="auto"/>
        </w:rPr>
        <w:t>. The Purchaser is a corporation duly incorporated, validly existing and in good standing under the jurisdiction and laws of the State of Delaware.</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 and Validity of Agreements</w:t>
      </w:r>
      <w:r>
        <w:rPr>
          <w:rFonts w:ascii="Arial" w:cs="Arial" w:eastAsia="Arial" w:hAnsi="Arial"/>
          <w:sz w:val="18"/>
          <w:szCs w:val="18"/>
          <w:color w:val="auto"/>
        </w:rPr>
        <w:t>. The Purchaser has all requisite power and authority to execute and deliver this Agreement, to perform its obligations hereunder and to consummate the transactions contemplated hereby. The execution and delivery of this Agreement, the performance by the Purchaser of its obligations hereunder and the consummation of the transactions contemplated hereby have been duly authorized by all requisite corporate action of the Purchaser. This Agreement constitutes a legal, valid and binding obligation of the Purchaser, enforceable against the Purchaser in accordance with its respective terms.</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Conflicts; Consents</w:t>
      </w:r>
      <w:r>
        <w:rPr>
          <w:rFonts w:ascii="Arial" w:cs="Arial" w:eastAsia="Arial" w:hAnsi="Arial"/>
          <w:sz w:val="16"/>
          <w:szCs w:val="16"/>
          <w:color w:val="auto"/>
        </w:rPr>
        <w:t>. The execution, delivery and performance of this Agreement by the Purchaser and the consummation by the Purchaser of the transactions contemplated hereby do not and will not conflict with, contravene, result in a violation or breach of or default under (with or without the giving of notice or the lapse of time, or both), permit any party to terminate, amend or accelerate the provisions of, or result in the imposition of any Lien (or any obligation to create any Lien) upon any of the property or assets of the Purchaser under (a) any Contract to which the Purchaser is a party or by which any of its property or assets may be bound or (b) any provision of the organizational document of the Purchaser.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Investment Purpose; Accredited Purchaser; Access to Information.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The Purchaser hereby acknowledges that the Subject Shares have not been registered under the Securities Act of 1933, as amended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and may not be offered or sold except pursuant to registration or to an exemption from the registration requirements of the Securities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that the certificates evidencing the Subject Shares will bear a legend to that effect. The Subject Shares to be acquired by the Purchaser pursuant to this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are being acquired for its own account and with no intention of distributing or reselling the Subject Shares or any part thereof in any transaction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would be in violation of the securities laws of the United States, any state of the United States or any foreign jurisdiction. The Purchaser further agrees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it has not entered and prior to the Closing will not enter into any Contract with respect to the distribution, sale, transfer or delivery of the Subject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w:t>
      </w:r>
    </w:p>
    <w:p>
      <w:pPr>
        <w:spacing w:after="0" w:line="84" w:lineRule="exact"/>
        <w:rPr>
          <w:sz w:val="20"/>
          <w:szCs w:val="20"/>
          <w:color w:val="auto"/>
        </w:rPr>
      </w:pPr>
    </w:p>
    <w:p>
      <w:pPr>
        <w:ind w:left="460" w:right="280" w:firstLine="443"/>
        <w:spacing w:after="0" w:line="268"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Section 2(15) of the Securities Act and within the meaning of Rule 501 of Regulation D under the Securities Act, as presently in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 w:name="page12"/>
    <w:bookmarkEnd w:id="11"/>
    <w:p>
      <w:pPr>
        <w:ind w:left="460" w:right="20" w:firstLine="443"/>
        <w:spacing w:after="0" w:line="291" w:lineRule="auto"/>
        <w:tabs>
          <w:tab w:leader="none" w:pos="113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Purchaser is sufficiently experienced in financial and business matters to be capable of evaluating the merits and risks involved in purchasing the Subject Shares and to make an informed decision relating thereto. The Purchaser has been furnished with the materials relating to the business, operations, financial condition, assets, liabilities of the Issuer and other matters relevant to Purchaser’s investment in the Subject Shares, which have been requested by the Purchaser. The Purchaser has had adequate opportunity to ask questions of, and receive answers from, the officers, employees, agents, accountants, and representatives of the Issuer concerning the business, operations, financial condition, assets, liabilities of the Issuer and all other matters relevant to its investment in the Subject Shares.</w:t>
      </w: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firstLine="913"/>
        <w:spacing w:after="0" w:line="30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Non-Sponsorship Covenant</w:t>
      </w:r>
      <w:r>
        <w:rPr>
          <w:rFonts w:ascii="Arial" w:cs="Arial" w:eastAsia="Arial" w:hAnsi="Arial"/>
          <w:sz w:val="15"/>
          <w:szCs w:val="15"/>
          <w:color w:val="auto"/>
        </w:rPr>
        <w:t>. Each of the parties hereto acknowledges that American Capital Agency Management, LLC (the “</w:t>
      </w:r>
      <w:r>
        <w:rPr>
          <w:rFonts w:ascii="Arial" w:cs="Arial" w:eastAsia="Arial" w:hAnsi="Arial"/>
          <w:sz w:val="15"/>
          <w:szCs w:val="15"/>
          <w:u w:val="single" w:color="auto"/>
          <w:color w:val="auto"/>
        </w:rPr>
        <w:t>Manager</w:t>
      </w:r>
      <w:r>
        <w:rPr>
          <w:rFonts w:ascii="Arial" w:cs="Arial" w:eastAsia="Arial" w:hAnsi="Arial"/>
          <w:sz w:val="15"/>
          <w:szCs w:val="15"/>
          <w:color w:val="auto"/>
        </w:rPr>
        <w:t>”) is a Purchaser Affiliate (as defined below) and will manage and advise the Issuer pursuant to that certain Management Agreement to be entered into by the Issuer and the Manager upon consummation of the IPO (the “</w:t>
      </w:r>
      <w:r>
        <w:rPr>
          <w:rFonts w:ascii="Arial" w:cs="Arial" w:eastAsia="Arial" w:hAnsi="Arial"/>
          <w:sz w:val="15"/>
          <w:szCs w:val="15"/>
          <w:u w:val="single" w:color="auto"/>
          <w:color w:val="auto"/>
        </w:rPr>
        <w:t>Management Agreement</w:t>
      </w:r>
      <w:r>
        <w:rPr>
          <w:rFonts w:ascii="Arial" w:cs="Arial" w:eastAsia="Arial" w:hAnsi="Arial"/>
          <w:sz w:val="15"/>
          <w:szCs w:val="15"/>
          <w:color w:val="auto"/>
        </w:rPr>
        <w:t>”). Subject to the occurrence of the IPO Closing and the Closing, the Purchaser hereby agrees that it will not sponsor an investment vehicle that invests predominantly in Agency Securities (as defined below) which represent an undivided beneficial ownership interest in a group or pool of one or more mortgages, or “whole pool” Agency Securities (other than the Issuer) for so long as (1) the Manager or another Purchaser Affiliate serves as the Company’s manager pursuant to the Management Agreement and (2) the Manager is a Purchaser Affiliate. For the purpose of this Article IV, (a) “</w:t>
      </w:r>
      <w:r>
        <w:rPr>
          <w:rFonts w:ascii="Arial" w:cs="Arial" w:eastAsia="Arial" w:hAnsi="Arial"/>
          <w:sz w:val="15"/>
          <w:szCs w:val="15"/>
          <w:u w:val="single" w:color="auto"/>
          <w:color w:val="auto"/>
        </w:rPr>
        <w:t>Agency Securities</w:t>
      </w:r>
      <w:r>
        <w:rPr>
          <w:rFonts w:ascii="Arial" w:cs="Arial" w:eastAsia="Arial" w:hAnsi="Arial"/>
          <w:sz w:val="15"/>
          <w:szCs w:val="15"/>
          <w:color w:val="auto"/>
        </w:rPr>
        <w:t>” means single-family residential mortgage pass-through securities and collateralized mortgage obligations for which the principal and interest payments are guaranteed by (i) a U.S. Government agency such as the Government National Mortgage Association, or (ii) a U.S. Government-sponsored entity such as the Federal National Mortgage Association and the Federal Home Loan Mortgage Corporation, and (b) “Purchaser Affiliate” is any natural person or legal entity which is directly or indirectly controlling, controlled by, or under common control with the Purchaser.</w:t>
      </w:r>
    </w:p>
    <w:p>
      <w:pPr>
        <w:spacing w:after="0" w:line="109"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Subject to the occurrence of the IPO Closing and the Closing, each of the parties hereto covenants to enter into that certain Registration Rights Agreement, a copy of which is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 with respect to the Subject Shares.</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shall execute and deliver such instruments and take such other actions prior to or after the Closing as any other party may reasonably request in order to carry out the intent of this Agreement, including without limitation obtaining any required consents or approvals from third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 TO THE OBLIGATIONS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Mutual Conditions</w:t>
      </w:r>
      <w:r>
        <w:rPr>
          <w:rFonts w:ascii="Arial" w:cs="Arial" w:eastAsia="Arial" w:hAnsi="Arial"/>
          <w:sz w:val="18"/>
          <w:szCs w:val="18"/>
          <w:color w:val="auto"/>
        </w:rPr>
        <w:t>. The obligations of the Issuer and the Purchaser to consummate the purchase and sale of the Subject Shares contemplated hereby are subject to the following conditions: (a) the occurrence of the IPO Closing, (b) the absence of any order, decree, judgment or injunction of a court of competent jurisdiction or other governmental or regulatory authority precluding the consummation of the purchase and sale of the Subject Shares contemplated hereby, and (c) there shall not have been any action taken or any statute, rule or regulation enacted, promulgated or deemed applicable to, the purchase and sale of the Subject Shares contemplated hereby by any court, governmental agency or regulatory or administrative authority that makes consummation of such transactions illegal.</w:t>
      </w:r>
    </w:p>
    <w:p>
      <w:pPr>
        <w:spacing w:after="0" w:line="144"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the Obligations of the Issuer</w:t>
      </w:r>
      <w:r>
        <w:rPr>
          <w:rFonts w:ascii="Arial" w:cs="Arial" w:eastAsia="Arial" w:hAnsi="Arial"/>
          <w:sz w:val="18"/>
          <w:szCs w:val="18"/>
          <w:color w:val="auto"/>
        </w:rPr>
        <w:t>. The obligations of the Issuer under this Agreement to consummate the purchase and sale of the Subject Shares contemplated hereby are subject to the fulfillment (or waiver by the Issuer) of the conditions that (a) the representations and warranties of the Purchaser contained in or made pursuant to this Agreement shall be deemed to have been made again at and as of the Closing and shall then be true and accurate, and (b) the Purchaser shall have performed and complied in all material respects with all agreements required by this Agreement to be performed or complied with by it prior to or at the Closing.</w:t>
      </w:r>
    </w:p>
    <w:p>
      <w:pPr>
        <w:spacing w:after="0" w:line="14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Conditions to the Obligations of the Purchaser</w:t>
      </w:r>
      <w:r>
        <w:rPr>
          <w:rFonts w:ascii="Arial" w:cs="Arial" w:eastAsia="Arial" w:hAnsi="Arial"/>
          <w:sz w:val="16"/>
          <w:szCs w:val="16"/>
          <w:color w:val="auto"/>
        </w:rPr>
        <w:t>. The obligations of the Purchaser under this Agreement to consummate the purchase and sale of the Subject Shares contemplated hereby are subject to the fulfillment (or waiver in writing by the Purchaser) of the condition that (a) all representations and warranties of the Issuer shall be deemed to have been made again at and as of the Closing and shall then be true and accurate, and (b) the Issuer shall have performed and complied in all material respects with all agreements required by this Agreement to be performed or complied with by it prior to or at the Closing.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400" w:firstLine="913"/>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be terminated prior to the consummation of the transactions contemplated hereby if, prior to the consummation of the IPO Closing, the Underwriting Agreement is terminated pursuant to its terms. In the event of any termination of this Agreement, this Agreement shall become void and have no effect, without any liability to any person in respect hereof on the part of any party hereto, except for any liability resulting from such party’s breach of this Agreement prior to such termination.</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Survival</w:t>
      </w:r>
      <w:r>
        <w:rPr>
          <w:rFonts w:ascii="Arial" w:cs="Arial" w:eastAsia="Arial" w:hAnsi="Arial"/>
          <w:sz w:val="18"/>
          <w:szCs w:val="18"/>
          <w:color w:val="auto"/>
        </w:rPr>
        <w:t>. Each of the representations and warranties contained in this Agreement shall survive indefinitely. Each of the covenants contained in this Agreement shall survive the Closing until performed in accordance with their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3" w:name="page14"/>
    <w:bookmarkEnd w:id="13"/>
    <w:p>
      <w:pPr>
        <w:ind w:right="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6.3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The provisions of this Agreement may not be amended or modified except by a writing signed by each of the parties. No waiver of any term or condition hereof or obligation hereunder shall be valid unless made in writing and signed by the party to which performance is due.</w:t>
      </w:r>
    </w:p>
    <w:p>
      <w:pPr>
        <w:spacing w:after="0" w:line="85" w:lineRule="exact"/>
        <w:rPr>
          <w:sz w:val="20"/>
          <w:szCs w:val="20"/>
          <w:color w:val="auto"/>
        </w:rPr>
      </w:pPr>
    </w:p>
    <w:p>
      <w:pPr>
        <w:jc w:val="both"/>
        <w:ind w:right="280" w:firstLine="913"/>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giving effect to any conflict of laws principles thereof that would cause the application of the laws of another jurisdiction.</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TO THE EXTENT PERMITTED BY APPLICABLE LAW, EACH PARTY HERETO IRREVOCABLY WAIVES ALL RIGHT OF TRIAL BY JURY IN ANY ACTION, PROCEEDING OR COUNTERCLAIM, ARISING OUT OF OR IN CONNECTION WITH THIS AGREEMENT OR ANY MATTER ARISING HEREUNDER.</w:t>
      </w:r>
    </w:p>
    <w:p>
      <w:pPr>
        <w:spacing w:after="0" w:line="14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Remedies and Waivers</w:t>
      </w:r>
      <w:r>
        <w:rPr>
          <w:rFonts w:ascii="Arial" w:cs="Arial" w:eastAsia="Arial" w:hAnsi="Arial"/>
          <w:sz w:val="16"/>
          <w:szCs w:val="16"/>
          <w:color w:val="auto"/>
        </w:rPr>
        <w:t>. No delay or omission on the part of any Party to this Agreement in exercising any right, power or remedy provided by law or under this agreement shall (i) impair such right, power or remedy; or (ii) operate as a waiver thereof. The single or partial exercise of any right, power or remedy provided by law or under this Agreement shall not preclude any other or further exercise of any other right, power or remedy. The rights, powers and remedies provided in this Agreement are cumulative and not exclusive of any rights, powers and remedies provided by law.</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waivers and other communications to be given by either party hereunder shall be in writing and shall be</w:t>
      </w:r>
    </w:p>
    <w:p>
      <w:pPr>
        <w:spacing w:after="0" w:line="38" w:lineRule="exact"/>
        <w:rPr>
          <w:sz w:val="20"/>
          <w:szCs w:val="20"/>
          <w:color w:val="auto"/>
        </w:rPr>
      </w:pPr>
    </w:p>
    <w:p>
      <w:pPr>
        <w:ind w:firstLine="8"/>
        <w:spacing w:after="0" w:line="252"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mailed by first-class, registered or certified mail, postage prepaid, (ii) sent by hand delivery or reputable overnight delivery service or (iii) transmitted by fax (provided that a copy is also sent by reputable overnight delivery service) addressed to the Secretary of the Issuer or the Secretary of the Purchaser, as applicable, in each case at 2 Bethesda Metro Center, 14th Floor, Bethesda, Maryland 20814, or such other address as may be specified in writing to the other party hereto. All such notices, requests, demands, waivers and other communications shall be deemed to have been given and received (i) if by personal delivery or fax, on the day of such delivery, (ii) if by first-class, registered or certified mail, on the fifth business day after the mailing thereof, or (iii) if by reputable overnight delivery service, on the day delivered.</w:t>
      </w:r>
    </w:p>
    <w:p>
      <w:pPr>
        <w:spacing w:after="0" w:line="14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each of which shall be deemed an original, but all such counterparts shall together constitute but one and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 w:name="page15"/>
    <w:bookmarkEnd w:id="14"/>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6.10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herein are for the convenience of the parties only and shall not affect the construction or interpretation of this Agreement.</w:t>
      </w:r>
    </w:p>
    <w:p>
      <w:pPr>
        <w:spacing w:after="0" w:line="132" w:lineRule="exact"/>
        <w:rPr>
          <w:sz w:val="20"/>
          <w:szCs w:val="20"/>
          <w:color w:val="auto"/>
        </w:rPr>
      </w:pPr>
    </w:p>
    <w:p>
      <w:pPr>
        <w:ind w:right="200" w:firstLine="913"/>
        <w:spacing w:after="0" w:line="370" w:lineRule="auto"/>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the Exhibits hereto, contains the entire understanding of the parties with respect to the subject matter hereof, and supersedes all prior agreements and understandings, both written and oral, among the parties with respect to the subject matter hereof.</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and delivered this Agreement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CAPITAL AGENCY CORP.</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Samuel A. Flax</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CAPITAL STRATEGIES, LTD.</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Samuel A. Flax</w:t>
      </w:r>
    </w:p>
    <w:p>
      <w:pPr>
        <w:spacing w:after="0" w:line="15" w:lineRule="exact"/>
        <w:rPr>
          <w:sz w:val="20"/>
          <w:szCs w:val="20"/>
          <w:color w:val="auto"/>
        </w:rPr>
      </w:pPr>
    </w:p>
    <w:p>
      <w:pPr>
        <w:jc w:val="right"/>
        <w:spacing w:after="0"/>
        <w:tabs>
          <w:tab w:leader="none" w:pos="4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General Counsel and Secretary</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ectPr>
          <w:pgSz w:w="11900" w:h="16838" w:orient="portrait"/>
          <w:cols w:equalWidth="0" w:num="1">
            <w:col w:w="9019"/>
          </w:cols>
          <w:pgMar w:left="1440" w:top="274"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w:t>
      </w:r>
    </w:p>
    <w:p>
      <w:pPr>
        <w:sectPr>
          <w:pgSz w:w="11900" w:h="16838" w:orient="portrait"/>
          <w:cols w:equalWidth="0" w:num="1">
            <w:col w:w="9019"/>
          </w:cols>
          <w:pgMar w:left="1440" w:top="274"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REGISTRATION RIGHTS AGREEMENT, dated as of May 20, 2008, is entered into by and between American Capital Agency Corp.,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American Capital Strategies, Ltd., a Delaware corporation (“</w:t>
      </w:r>
      <w:r>
        <w:rPr>
          <w:rFonts w:ascii="Arial" w:cs="Arial" w:eastAsia="Arial" w:hAnsi="Arial"/>
          <w:sz w:val="18"/>
          <w:szCs w:val="18"/>
          <w:i w:val="1"/>
          <w:iCs w:val="1"/>
          <w:color w:val="auto"/>
        </w:rPr>
        <w:t>American Capital</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will issue and sell American Capital 5,000,000 shares of the Company’s common stock, par value $0.01 per share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in a transaction not registered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on the date hereof (the “</w:t>
      </w:r>
      <w:r>
        <w:rPr>
          <w:rFonts w:ascii="Arial" w:cs="Arial" w:eastAsia="Arial" w:hAnsi="Arial"/>
          <w:sz w:val="16"/>
          <w:szCs w:val="16"/>
          <w:i w:val="1"/>
          <w:iCs w:val="1"/>
          <w:color w:val="auto"/>
        </w:rPr>
        <w:t>Private Placement</w:t>
      </w:r>
      <w:r>
        <w:rPr>
          <w:rFonts w:ascii="Arial" w:cs="Arial" w:eastAsia="Arial" w:hAnsi="Arial"/>
          <w:sz w:val="16"/>
          <w:szCs w:val="16"/>
          <w:color w:val="auto"/>
        </w:rPr>
        <w:t>”).</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to this Agreement hereby agree as follows: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Certain Definitions</w:t>
      </w:r>
      <w:r>
        <w:rPr>
          <w:rFonts w:ascii="Arial" w:cs="Arial" w:eastAsia="Arial" w:hAnsi="Arial"/>
          <w:sz w:val="16"/>
          <w:szCs w:val="16"/>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terms defined elsewhere in this Agreement, the following terms, as used herein, shall have the following meanings: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Person means any other Person that directly, or indirectly through one or more intermediaries, controls, or is controlled by, or is under common control with, such Person. The term “control” (including the terms “controlled by” and “under common control with”) as used with respect to any Person means the possession, directly or indirectly through one or more intermediaries, of the power to direct or cause the direction of the management and policies of such Person, whether through the ownership of voting securities, by contract or otherwise.</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Agreement</w:t>
      </w:r>
      <w:r>
        <w:rPr>
          <w:rFonts w:ascii="Arial" w:cs="Arial" w:eastAsia="Arial" w:hAnsi="Arial"/>
          <w:sz w:val="16"/>
          <w:szCs w:val="16"/>
          <w:color w:val="auto"/>
        </w:rPr>
        <w:t>” means this Registration Rights Agreement, including all amendments, modifications and supplements and any exhibits or schedules to any of the foregoing, and shall refer to this Registration Rights Agreement as the same may be in effect at the time such reference becomes operative.</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Saturday, Sunday or a day on which commercial banks in New York, New York are directed or permitted to be closed.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(i) American Capital as holders of record of Registrable Common Stock (as defined below) and (ii) any Affiliate of American Capital that is a partnership, limited liability company, corporation or similar entity and a direct or indirect transferee of such Registrable Common Stock from American Capital. For purposes of this Agreement, the Company may deem and treat the registered holder of Registrable Common Stock as the Holder and absolute owner thereof, and the Company shall not be affected by any notice to the contrary.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initial public offering of the Company’s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 Date</w:t>
      </w:r>
      <w:r>
        <w:rPr>
          <w:rFonts w:ascii="Arial" w:cs="Arial" w:eastAsia="Arial" w:hAnsi="Arial"/>
          <w:sz w:val="18"/>
          <w:szCs w:val="18"/>
          <w:color w:val="auto"/>
        </w:rPr>
        <w:t>” means the closing date of the IPO.</w:t>
      </w:r>
    </w:p>
    <w:p>
      <w:pPr>
        <w:sectPr>
          <w:pgSz w:w="11900" w:h="16838" w:orient="portrait"/>
          <w:cols w:equalWidth="0" w:num="1">
            <w:col w:w="11420"/>
          </w:cols>
          <w:pgMar w:left="240" w:top="125" w:right="239" w:bottom="1440" w:gutter="0" w:footer="0" w:header="0"/>
        </w:sectPr>
      </w:pPr>
    </w:p>
    <w:bookmarkStart w:id="19" w:name="page20"/>
    <w:bookmarkEnd w:id="19"/>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sole proprietorship, partnership, limited liability company, joint venture, trust, incorporated organization, association, corporation, institution, public benefit corporation, government (whether federal, state, county, city, municipal or otherwise, including, without limitation, any instrumentality, division, agency, body or department thereof) or any other entity.</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Prospectus</w:t>
      </w:r>
      <w:r>
        <w:rPr>
          <w:rFonts w:ascii="Arial" w:cs="Arial" w:eastAsia="Arial" w:hAnsi="Arial"/>
          <w:sz w:val="16"/>
          <w:szCs w:val="16"/>
          <w:color w:val="auto"/>
        </w:rPr>
        <w:t>” means the prospectus or prospectuses included in any Registration Statement (including without limitation, any prospectus subject to completion and a prospectus that includes any information previously omitted from a prospectus filed as part of an effective registration statement in reliance upon Rule 430A promulgated under the Securities Act and any term sheet filed pursuant to Rule 434 under the Securities Act), as amended or supplemented by any prospectus supplement with respect to the terms of the offering of any portion of the Registrable Common Stock covered by such Registration Statement and by all other amendments and supplements to the prospectus, including post-effective amendments and all material incorporated by reference or deemed to be incorporated by reference in such prospectus or prospectuses.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Registrable Common Stock</w:t>
      </w:r>
      <w:r>
        <w:rPr>
          <w:rFonts w:ascii="Arial" w:cs="Arial" w:eastAsia="Arial" w:hAnsi="Arial"/>
          <w:sz w:val="16"/>
          <w:szCs w:val="16"/>
          <w:color w:val="auto"/>
        </w:rPr>
        <w:t>” means each of the 5,000,000 shares of Common Stock issued and sold to American Capital in connection with the Private Placement upon original issuance thereof and at all times subsequent thereto, including upon the transfer thereof by the original Holder or any subsequent Holder and any securities issued in respect of such securities by reason of or in connection with any exchange for or replacement of such securities or any stock dividend, stock distribution, stock split, purchase in any rights offering or in connection with any combination of shares, recapitalization, merger or consolidation, or any other equity securities issued pursuant to any other pro rata distribution with respect to the Common Stock, until, in the case of any such securities, the earliest to occur of (i) the date on which it has been registered effectively pursuant to the Securities Act and disposed of in accordance with the Registration Statement relating to it or (ii) the date on which either it is distributed to the public or is saleable, in each case pursuant to Rule 144 promulgated by the SEC pursuant to the Securities Act.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Statement</w:t>
      </w:r>
      <w:r>
        <w:rPr>
          <w:rFonts w:ascii="Arial" w:cs="Arial" w:eastAsia="Arial" w:hAnsi="Arial"/>
          <w:sz w:val="16"/>
          <w:szCs w:val="16"/>
          <w:color w:val="auto"/>
        </w:rPr>
        <w:t>” means any registration statement of the Company filed with the SEC under the Securities Act which covers any of the Registrable Common Stock pursuant to the provisions of this Agreement, including the Prospectus, amendments and supplements to such Registration Statement, including post-effective amendments, all exhibits and all materials incorporated by reference or deemed to be incorporated by reference in such Registration Statement.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415</w:t>
      </w:r>
      <w:r>
        <w:rPr>
          <w:rFonts w:ascii="Arial" w:cs="Arial" w:eastAsia="Arial" w:hAnsi="Arial"/>
          <w:sz w:val="18"/>
          <w:szCs w:val="18"/>
          <w:color w:val="auto"/>
        </w:rPr>
        <w:t>” means Rule 415 promulgated by the SEC pursuant to the Securities Act, as such Rule may be amended from time to time, or any similar Rule or regulation hereafter adopted by the SEC as a replacement thereto having substantially the same effect as such rule.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underwritten registration or underwritten offering</w:t>
      </w:r>
      <w:r>
        <w:rPr>
          <w:rFonts w:ascii="Arial" w:cs="Arial" w:eastAsia="Arial" w:hAnsi="Arial"/>
          <w:sz w:val="18"/>
          <w:szCs w:val="18"/>
          <w:color w:val="auto"/>
        </w:rPr>
        <w:t>” means a registration in which securities of the Company are sold to underwriters for reoffering to the public.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 w:name="page21"/>
    <w:bookmarkEnd w:id="2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Underwriting Agreement</w:t>
      </w:r>
      <w:r>
        <w:rPr>
          <w:rFonts w:ascii="Arial" w:cs="Arial" w:eastAsia="Arial" w:hAnsi="Arial"/>
          <w:sz w:val="18"/>
          <w:szCs w:val="18"/>
          <w:color w:val="auto"/>
        </w:rPr>
        <w:t>” means the Underwriting Agreement dated May 14, 2008 by and among the Company, American Capital Agency Management, LLC, a Delaware limited liability company and the Manager of the Company, Citigroup Global Markets Inc. and Merrill Lynch, Pierce, Fenner &amp; Smith Incorporated, as representatives for the underwriters named on Schedule A of such Underwriting Agreement.</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Demand Registrations</w:t>
      </w:r>
      <w:r>
        <w:rPr>
          <w:rFonts w:ascii="Arial" w:cs="Arial" w:eastAsia="Arial" w:hAnsi="Arial"/>
          <w:sz w:val="15"/>
          <w:szCs w:val="15"/>
          <w:color w:val="auto"/>
        </w:rPr>
        <w:t>.</w:t>
      </w:r>
    </w:p>
    <w:p>
      <w:pPr>
        <w:spacing w:after="0" w:line="96"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Right to Request Registration</w:t>
      </w:r>
      <w:r>
        <w:rPr>
          <w:rFonts w:ascii="Arial" w:cs="Arial" w:eastAsia="Arial" w:hAnsi="Arial"/>
          <w:sz w:val="16"/>
          <w:szCs w:val="16"/>
          <w:color w:val="auto"/>
        </w:rPr>
        <w:t>. From and after the date hereof, any Holder or Holders (“</w:t>
      </w:r>
      <w:r>
        <w:rPr>
          <w:rFonts w:ascii="Arial" w:cs="Arial" w:eastAsia="Arial" w:hAnsi="Arial"/>
          <w:sz w:val="16"/>
          <w:szCs w:val="16"/>
          <w:i w:val="1"/>
          <w:iCs w:val="1"/>
          <w:color w:val="auto"/>
        </w:rPr>
        <w:t>Initiating Holders</w:t>
      </w:r>
      <w:r>
        <w:rPr>
          <w:rFonts w:ascii="Arial" w:cs="Arial" w:eastAsia="Arial" w:hAnsi="Arial"/>
          <w:sz w:val="16"/>
          <w:szCs w:val="16"/>
          <w:color w:val="auto"/>
        </w:rPr>
        <w:t>”) may request registration under the</w:t>
      </w:r>
    </w:p>
    <w:p>
      <w:pPr>
        <w:spacing w:after="0" w:line="38"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Securities Act of all or part of the Registrable Common Stock (“</w:t>
      </w:r>
      <w:r>
        <w:rPr>
          <w:rFonts w:ascii="Arial" w:cs="Arial" w:eastAsia="Arial" w:hAnsi="Arial"/>
          <w:sz w:val="18"/>
          <w:szCs w:val="18"/>
          <w:i w:val="1"/>
          <w:iCs w:val="1"/>
          <w:color w:val="auto"/>
        </w:rPr>
        <w:t>Demand Registration</w:t>
      </w:r>
      <w:r>
        <w:rPr>
          <w:rFonts w:ascii="Arial" w:cs="Arial" w:eastAsia="Arial" w:hAnsi="Arial"/>
          <w:sz w:val="18"/>
          <w:szCs w:val="18"/>
          <w:color w:val="auto"/>
        </w:rPr>
        <w:t xml:space="preserve">”) at any time and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Initiating Holders shall not be entitled to request any Demand Registration with respect to 2,500,000 shares of the Registrable Common Stock issued to American Capital in connection with the Private Placement prior to the third anniversary of the IPO Date.</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Within ten (10) Business Days after receipt of any such request for Demand Registration, the Company shall give written notice of such request to all other Holders of Registrable Common Stock, if any, and shall, subject to the provisions of Section 2(c) hereof, include in such registration all such Registrable Common Stock with respect to which the Company has received written requests for inclusion therein within twenty (20) Business Days after the receipt of the Company’s notice.</w:t>
      </w:r>
    </w:p>
    <w:p>
      <w:pPr>
        <w:spacing w:after="0" w:line="143" w:lineRule="exact"/>
        <w:rPr>
          <w:sz w:val="20"/>
          <w:szCs w:val="20"/>
          <w:color w:val="auto"/>
        </w:rPr>
      </w:pPr>
    </w:p>
    <w:p>
      <w:pPr>
        <w:ind w:right="100" w:firstLine="464"/>
        <w:spacing w:after="0" w:line="287"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w:t>
      </w:r>
      <w:r>
        <w:rPr>
          <w:rFonts w:ascii="Arial" w:cs="Arial" w:eastAsia="Arial" w:hAnsi="Arial"/>
          <w:sz w:val="16"/>
          <w:szCs w:val="16"/>
          <w:color w:val="auto"/>
        </w:rPr>
        <w:t>. If the managing underwriters of a requested Demand Registration advise the Company in writing that in their opinion the shares of Registrable Common Stock proposed to be included in any such registration exceeds the number of securities that can be sold in such offering and/or that the number of shares of Registrable Common Stock proposed to be included in any such registration would materially adversely affect the price per share of the Company’s equity securities to be sold in such offering, the Company shall include in such registration only the number of shares of Registrable Common Stock that, in the opinion of such managing underwriters, can be sold. If the number of shares that can be sold is less than the number of shares of Registrable Common Stock proposed to be registered, the Company shall allocate the amount of Registrable Common Stock to be so sold among the Holders pro rata on the basis of Registrable Common Stock offered for such registration by each Holder electing to participate in such registration. If the number of shares that can be sold, as determined by the managing underwriters, exceeds the number of shares of Registrable Common Stock proposed to be sold, such excess shall be allocated pro rata among the other holders of Common Stock, if any, desiring to participate in such registration based on the amount of such Common Stock initially requested to be registered by such holders or as such holders may otherwise agree.</w:t>
      </w:r>
    </w:p>
    <w:p>
      <w:pPr>
        <w:spacing w:after="0" w:line="122" w:lineRule="exact"/>
        <w:rPr>
          <w:rFonts w:ascii="Arial" w:cs="Arial" w:eastAsia="Arial" w:hAnsi="Arial"/>
          <w:sz w:val="16"/>
          <w:szCs w:val="16"/>
          <w:color w:val="auto"/>
        </w:rPr>
      </w:pPr>
    </w:p>
    <w:p>
      <w:pPr>
        <w:ind w:right="120" w:firstLine="464"/>
        <w:spacing w:after="0" w:line="256"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Restrictions on Demand Registrations</w:t>
      </w:r>
      <w:r>
        <w:rPr>
          <w:rFonts w:ascii="Arial" w:cs="Arial" w:eastAsia="Arial" w:hAnsi="Arial"/>
          <w:sz w:val="18"/>
          <w:szCs w:val="18"/>
          <w:color w:val="auto"/>
        </w:rPr>
        <w:t>. The Company shall not be obligated to effect any Demand Registration within six (6) months after the effective date of a previous Demand Registration or a previous registration under which the Initiating Holders had piggyback rights pursuant to Section 3 hereof wherein the Initiating Holders were permitted to register, and sold, at least 50% of the shares of Registrable Common Stock requested to be included therein. The Company may (i) postpone for up to ninety (90) days the filing or the effectiveness of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for a Demand Registration if, based on the good faith judgment of the Company’s board of directors, such postponement or withdrawal is necessary in order to avoid premature disclosure of a matter the board has determined would not be in the best interest of the Company to be disclosed at such time or (ii) postpone the filing of a Demand Registration in the event the Company shall be required to prepare audited financial statements as of a date other than its fiscal year and (unless the Holders requesting such registration agree to pay the expenses of such an audit); provided, however, that in no event shall the Company withdraw a Registration Statement under clause (i) after such Registration Statement has been declared effective; and provided, further, however, that in any of the events described in clause (i) or (ii) above, the Initiating Holders requesting such Demand Registration shall be entitled to withdraw such request. The Company shall provide written notice to the Initiating Holders requesting such Demand Registration of (x) any postponement or withdrawal of the filing or effectiveness of a Registration Statement pursuant to this Section 2(c), (y) the Company’s decision to file or seek effectiveness of such Registration Statement following such withdrawal or postponement and (z) the effectiveness of such Registration Statement.</w:t>
      </w:r>
    </w:p>
    <w:p>
      <w:pPr>
        <w:spacing w:after="0" w:line="120" w:lineRule="exact"/>
        <w:rPr>
          <w:sz w:val="20"/>
          <w:szCs w:val="20"/>
          <w:color w:val="auto"/>
        </w:rPr>
      </w:pPr>
    </w:p>
    <w:p>
      <w:pPr>
        <w:ind w:right="60"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If any of the Registrable Common Stock covered by a Demand Registration hereof is to be sold in an underwritten offering, the Initiating Holders shall have the right to select the managing underwriter(s) to administer the offering subject to the approval of the Company, which approval shall not be unreasonably withheld.</w:t>
      </w:r>
    </w:p>
    <w:p>
      <w:pPr>
        <w:spacing w:after="0" w:line="140" w:lineRule="exact"/>
        <w:rPr>
          <w:rFonts w:ascii="Arial" w:cs="Arial" w:eastAsia="Arial" w:hAnsi="Arial"/>
          <w:sz w:val="18"/>
          <w:szCs w:val="18"/>
          <w:color w:val="auto"/>
        </w:rPr>
      </w:pPr>
    </w:p>
    <w:p>
      <w:pPr>
        <w:ind w:right="6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Effective Period of Demand Registrations</w:t>
      </w:r>
      <w:r>
        <w:rPr>
          <w:rFonts w:ascii="Arial" w:cs="Arial" w:eastAsia="Arial" w:hAnsi="Arial"/>
          <w:sz w:val="16"/>
          <w:szCs w:val="16"/>
          <w:color w:val="auto"/>
        </w:rPr>
        <w:t>. After any Demand Registration filed pursuant to this Agreement has become effective, the Company shall use its best efforts to keep such Demand Registration effective for a period equal to 180 days from the date on which the SEC declares such Demand Registration effective (or if such Demand Registration is not effective during any period within such 180 days, such 180-day period shall be extended by the number of days during such period when such Demand Registration is not effective), or such shorter period that shall terminate when all of the Registrable Common Stock covered by such Demand Registration has been sold pursuant to such Demand Registration. If the Company shall withdraw or reduce the number of shares of Registrable Common Stock that is subject to any Demand Registration pursuant to subsection (b) of this Section 2 (a “</w:t>
      </w:r>
      <w:r>
        <w:rPr>
          <w:rFonts w:ascii="Arial" w:cs="Arial" w:eastAsia="Arial" w:hAnsi="Arial"/>
          <w:sz w:val="16"/>
          <w:szCs w:val="16"/>
          <w:i w:val="1"/>
          <w:iCs w:val="1"/>
          <w:color w:val="auto"/>
        </w:rPr>
        <w:t>Withdrawn Demand Registration</w:t>
      </w:r>
      <w:r>
        <w:rPr>
          <w:rFonts w:ascii="Arial" w:cs="Arial" w:eastAsia="Arial" w:hAnsi="Arial"/>
          <w:sz w:val="16"/>
          <w:szCs w:val="16"/>
          <w:color w:val="auto"/>
        </w:rPr>
        <w:t>”), the Initiating Holders of the Registrable Common Stock remaining unsold and originally covered by such Withdrawn Demand Registration shall be entitled to a replacement Demand Registration that (subject to the provisions of this Section 2) the Company shall use its best efforts to keep effective for a period commencing on the effective date of such Demand Registration and ending on the earlier to occur of the date (i) that is 180 days from the effective date of such Demand Registration and (ii) on which all of the Registrable Common Stock covered by such Demand Registration has been sold. Such additional Demand Registration otherwise shall be subject to all of the provisions of this Agreement.</w:t>
      </w:r>
    </w:p>
    <w:p>
      <w:pPr>
        <w:spacing w:after="0" w:line="127" w:lineRule="exact"/>
        <w:rPr>
          <w:rFonts w:ascii="Arial" w:cs="Arial" w:eastAsia="Arial" w:hAnsi="Arial"/>
          <w:sz w:val="16"/>
          <w:szCs w:val="16"/>
          <w:color w:val="auto"/>
        </w:rPr>
      </w:pPr>
    </w:p>
    <w:p>
      <w:pPr>
        <w:ind w:right="240" w:firstLine="464"/>
        <w:spacing w:after="0" w:line="259" w:lineRule="auto"/>
        <w:tabs>
          <w:tab w:leader="none" w:pos="67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Underwritten Offerings</w:t>
      </w:r>
      <w:r>
        <w:rPr>
          <w:rFonts w:ascii="Arial" w:cs="Arial" w:eastAsia="Arial" w:hAnsi="Arial"/>
          <w:sz w:val="18"/>
          <w:szCs w:val="18"/>
          <w:color w:val="auto"/>
        </w:rPr>
        <w:t>. Notwithstanding the foregoing, in no event shall the Company be obligated to effect more than one (1) underwritten offering hereunder in any single six (6) month period, with the first such period measured from the date of the first Demand Registration and ending on the same date during the six (6) months following such Demand Registration, whether or not a Business Day.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2" w:name="page23"/>
    <w:bookmarkEnd w:id="2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sz w:val="20"/>
          <w:szCs w:val="20"/>
          <w:color w:val="auto"/>
        </w:rPr>
        <w:tab/>
      </w:r>
      <w:r>
        <w:rPr>
          <w:rFonts w:ascii="Arial" w:cs="Arial" w:eastAsia="Arial" w:hAnsi="Arial"/>
          <w:sz w:val="15"/>
          <w:szCs w:val="15"/>
          <w:b w:val="1"/>
          <w:bCs w:val="1"/>
          <w:color w:val="auto"/>
        </w:rPr>
        <w:t>Piggyback Registrations</w:t>
      </w:r>
      <w:r>
        <w:rPr>
          <w:rFonts w:ascii="Arial" w:cs="Arial" w:eastAsia="Arial" w:hAnsi="Arial"/>
          <w:sz w:val="15"/>
          <w:szCs w:val="15"/>
          <w:color w:val="auto"/>
        </w:rPr>
        <w:t>.</w:t>
      </w:r>
    </w:p>
    <w:p>
      <w:pPr>
        <w:spacing w:after="0" w:line="96" w:lineRule="exact"/>
        <w:rPr>
          <w:sz w:val="20"/>
          <w:szCs w:val="20"/>
          <w:color w:val="auto"/>
        </w:rPr>
      </w:pPr>
    </w:p>
    <w:p>
      <w:pPr>
        <w:ind w:firstLine="464"/>
        <w:spacing w:after="0" w:line="287"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Right to Piggyback</w:t>
      </w:r>
      <w:r>
        <w:rPr>
          <w:rFonts w:ascii="Arial" w:cs="Arial" w:eastAsia="Arial" w:hAnsi="Arial"/>
          <w:sz w:val="16"/>
          <w:szCs w:val="16"/>
          <w:color w:val="auto"/>
        </w:rPr>
        <w:t>. From and after the date hereof and until the termination of the Management Agreement, whenever the Company proposes to register any of its common equity securities under the Securities Act (other than a registration statement on Form S-8 or on Form S-4 or any similar successor forms thereto), whether for its own account or for the account of one or more stockholders of the Company, and the registration form to be used may be used for any registration of Registrable Common Stock (a “</w:t>
      </w:r>
      <w:r>
        <w:rPr>
          <w:rFonts w:ascii="Arial" w:cs="Arial" w:eastAsia="Arial" w:hAnsi="Arial"/>
          <w:sz w:val="16"/>
          <w:szCs w:val="16"/>
          <w:i w:val="1"/>
          <w:iCs w:val="1"/>
          <w:color w:val="auto"/>
        </w:rPr>
        <w:t>Piggyback Registration</w:t>
      </w:r>
      <w:r>
        <w:rPr>
          <w:rFonts w:ascii="Arial" w:cs="Arial" w:eastAsia="Arial" w:hAnsi="Arial"/>
          <w:sz w:val="16"/>
          <w:szCs w:val="16"/>
          <w:color w:val="auto"/>
        </w:rPr>
        <w:t xml:space="preserve">”), the Company shall give prompt written notice (in any event within ten (10) business days after its receipt of notice of any exercise of other demand registration rights) to all Holders of its intention to effect such a registration and, subject to Sections 3(b) and 3(c), shall include in such registration all Registrable Common Stock with respect to which the Company has received written requests for inclusion therein within twenty (20) days after the receipt of the Company’s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Initiating Holders shall not be entitled to request any Piggyback Registration with respect to 2,500,000 shares of the Registrable Common Stock issued to American Capital in connection with the Private Placement prior to the third anniversary of the IPO Date. The Company may postpone or withdraw the filing or the effectiveness of a Piggyback Registration at any time in its sole discretion.</w:t>
      </w:r>
    </w:p>
    <w:p>
      <w:pPr>
        <w:spacing w:after="0" w:line="122" w:lineRule="exact"/>
        <w:rPr>
          <w:rFonts w:ascii="Arial" w:cs="Arial" w:eastAsia="Arial" w:hAnsi="Arial"/>
          <w:sz w:val="16"/>
          <w:szCs w:val="16"/>
          <w:color w:val="auto"/>
        </w:rPr>
      </w:pPr>
    </w:p>
    <w:p>
      <w:pPr>
        <w:ind w:right="120" w:firstLine="464"/>
        <w:spacing w:after="0" w:line="254"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Priority on Primary Registrations</w:t>
      </w:r>
      <w:r>
        <w:rPr>
          <w:rFonts w:ascii="Arial" w:cs="Arial" w:eastAsia="Arial" w:hAnsi="Arial"/>
          <w:sz w:val="18"/>
          <w:szCs w:val="18"/>
          <w:color w:val="auto"/>
        </w:rPr>
        <w:t>. If a Piggyback Registration is an underwritten primary registration on behalf of the Company, and the managing underwriters advise the Company in writing that in their opinion the number of securities requested to be included in such registration exceeds the number that can be sold in such offering and/or that the number of shares of Registrable Common Stock proposed to be included in any such registration would adversely affect the price per share of the Company’s equity securities to be sold in such offering, the underwriting shall be allocated among the Company and all Holders pro rata on the basis of the Common Stock and Registrable Common Stock offered for such registration by the Company and each Holder, respectively, electing to participate in such registration.</w:t>
      </w:r>
    </w:p>
    <w:p>
      <w:pPr>
        <w:spacing w:after="0" w:line="144" w:lineRule="exact"/>
        <w:rPr>
          <w:rFonts w:ascii="Arial" w:cs="Arial" w:eastAsia="Arial" w:hAnsi="Arial"/>
          <w:sz w:val="18"/>
          <w:szCs w:val="18"/>
          <w:color w:val="auto"/>
        </w:rPr>
      </w:pPr>
    </w:p>
    <w:p>
      <w:pPr>
        <w:ind w:right="160" w:firstLine="464"/>
        <w:spacing w:after="0" w:line="290"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Priority on Secondary Registrations</w:t>
      </w:r>
      <w:r>
        <w:rPr>
          <w:rFonts w:ascii="Arial" w:cs="Arial" w:eastAsia="Arial" w:hAnsi="Arial"/>
          <w:sz w:val="16"/>
          <w:szCs w:val="16"/>
          <w:color w:val="auto"/>
        </w:rPr>
        <w:t>. If a Piggyback Registration is an underwritten secondary registration on behalf of a holder of the Company’s securities other than Registrable Common Stock (“</w:t>
      </w:r>
      <w:r>
        <w:rPr>
          <w:rFonts w:ascii="Arial" w:cs="Arial" w:eastAsia="Arial" w:hAnsi="Arial"/>
          <w:sz w:val="16"/>
          <w:szCs w:val="16"/>
          <w:i w:val="1"/>
          <w:iCs w:val="1"/>
          <w:color w:val="auto"/>
        </w:rPr>
        <w:t>Non-Holder Securities</w:t>
      </w:r>
      <w:r>
        <w:rPr>
          <w:rFonts w:ascii="Arial" w:cs="Arial" w:eastAsia="Arial" w:hAnsi="Arial"/>
          <w:sz w:val="16"/>
          <w:szCs w:val="16"/>
          <w:color w:val="auto"/>
        </w:rPr>
        <w:t>”), and the managing underwriters advise the Company in writing that in their opinion the number of securities requested to be included in such registration exceeds the number that can be sold in such offering and/or that the number of shares of Registrable Common Stock proposed to be included in any such registration would adversely affect the price per share of the Company’s equity securities to be sold in such offering, the underwriting shall be allocated among the holders of Non-Holder Securities and all Holders pro-rata on the basis of the Non-Holder Securities and Registrable Common Stock offered for such registration by the holder of Non-Holder Securities and each Holder, respectively, electing to participate in such registration.</w:t>
      </w:r>
    </w:p>
    <w:p>
      <w:pPr>
        <w:spacing w:after="0" w:line="118"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If any Piggyback Registration is an underwritten primary offering, the Company shall have the right to select the managing underwriter or underwriters to administer any such offering.</w:t>
      </w:r>
    </w:p>
    <w:p>
      <w:pPr>
        <w:spacing w:after="0" w:line="131" w:lineRule="exact"/>
        <w:rPr>
          <w:rFonts w:ascii="Arial" w:cs="Arial" w:eastAsia="Arial" w:hAnsi="Arial"/>
          <w:sz w:val="18"/>
          <w:szCs w:val="18"/>
          <w:color w:val="auto"/>
        </w:rPr>
      </w:pPr>
    </w:p>
    <w:p>
      <w:pPr>
        <w:ind w:right="32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Other Registrations</w:t>
      </w:r>
      <w:r>
        <w:rPr>
          <w:rFonts w:ascii="Arial" w:cs="Arial" w:eastAsia="Arial" w:hAnsi="Arial"/>
          <w:sz w:val="18"/>
          <w:szCs w:val="18"/>
          <w:color w:val="auto"/>
        </w:rPr>
        <w:t>. If the Company has previously filed a Registration Statement with respect to Registrable Common Stock pursuant to Section 2 hereof or pursuant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3, and if such previous registration has not been withdrawn or abandoned, the Company shall not be obligated to cause to become effective any other registration of any of its securities under the Securities Act, whether on its own behalf or at the request of any holder or holders of such securities, until a period of at least three (3) months has elapsed from the effective date of such previous registration.</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Holdback Agreement</w:t>
      </w:r>
      <w:r>
        <w:rPr>
          <w:rFonts w:ascii="Arial" w:cs="Arial" w:eastAsia="Arial" w:hAnsi="Arial"/>
          <w:sz w:val="15"/>
          <w:szCs w:val="15"/>
          <w:color w:val="auto"/>
        </w:rPr>
        <w:t>.</w:t>
      </w:r>
    </w:p>
    <w:p>
      <w:pPr>
        <w:spacing w:after="0" w:line="96"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In connection with an underwritten primary or secondary offering to the public, each Holder agrees, subject to any exceptions that may be agreed upon at the time of such offering, not to sell or otherwise transfer or dispose of any shares of Registrable Common Stock (or other securities) of the Company held by them (other than Registrable Common Stock included in such offering in accordance with the terms hereof) for a period equal to the lesser of one hundred eighty</w:t>
      </w:r>
    </w:p>
    <w:p>
      <w:pPr>
        <w:spacing w:after="0" w:line="1" w:lineRule="exact"/>
        <w:rPr>
          <w:sz w:val="20"/>
          <w:szCs w:val="20"/>
          <w:color w:val="auto"/>
        </w:rPr>
      </w:pPr>
    </w:p>
    <w:p>
      <w:pPr>
        <w:ind w:right="80" w:firstLine="8"/>
        <w:spacing w:after="0" w:line="29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days following the effective date of a Registration Statement of the Company filed under the Securities Act or such shorter period as the managing underwriter shall agree to; provided that all other stockholders who own more than ten percent (10%) of the outstanding Common Stock of the Company and all officers and directors of the Company enter into similar agreements. Such agreement shall be in writing in form reasonably satisfactory to the Company and the managing underwriter. The Company may impose stop-transfer instructions with respect to the shares of Registrable Common Stock (or other securities) subject to the foregoing restriction until the end of said period.</w:t>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Registration Procedures</w:t>
      </w:r>
      <w:r>
        <w:rPr>
          <w:rFonts w:ascii="Arial" w:cs="Arial" w:eastAsia="Arial" w:hAnsi="Arial"/>
          <w:sz w:val="15"/>
          <w:szCs w:val="15"/>
          <w:color w:val="auto"/>
        </w:rPr>
        <w: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Whenever the Holders request that any Registrable Common Stock be registered pursuant to this Agreement, the Company shall use its commercially reasonable efforts to effect and maintain the registration and the sale of such Registrable Common Stock in accordance with the intended methods of disposition thereof, and pursuant thereto the Company shall as expeditiously as possible:</w:t>
      </w:r>
    </w:p>
    <w:p>
      <w:pPr>
        <w:spacing w:after="0" w:line="59" w:lineRule="exact"/>
        <w:rPr>
          <w:sz w:val="20"/>
          <w:szCs w:val="20"/>
          <w:color w:val="auto"/>
        </w:rPr>
      </w:pPr>
    </w:p>
    <w:p>
      <w:pPr>
        <w:ind w:firstLine="464"/>
        <w:spacing w:after="0" w:line="290"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Common Stock and use its best efforts to cause such Registration Statement to become effective as soon as practicable thereafter; and before filing a Registration Statement or Prospectus or any amendments or supplements thereto, furnish to the Holders of Registrable Common Stock covered by such Registration Statement and the underwriter or underwriters, if any, copies of all such documents proposed to be filed, including, if requested by such Holders, documents incorporated by reference in the Prospectus and, if requested by such Holders, the exhibits incorporated or deemed incorporated by reference, and such Holders shall have the opportunity to object to any information pertaining to such Holders that is contained therein and the Company will make the corrections reasonably requested by such Holders with respect to such information prior to filing any Registration Statement or amendment thereto or any Prospectus or any supplement thereto;</w:t>
      </w:r>
    </w:p>
    <w:p>
      <w:pPr>
        <w:spacing w:after="0" w:line="118"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therewith as may be necessary to keep such Registration Statement effective, in the case of Demand Registration, for a period not less than 180 days, or such shorter period as is necessary to complete the distribution of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covered by such Registration Statement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40" w:lineRule="exact"/>
        <w:rPr>
          <w:sz w:val="20"/>
          <w:szCs w:val="20"/>
          <w:color w:val="auto"/>
        </w:rPr>
      </w:pPr>
    </w:p>
    <w:p>
      <w:pPr>
        <w:ind w:right="60" w:firstLine="464"/>
        <w:spacing w:after="0" w:line="255"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furnish to each seller of Registrable Common Stock (without charge) such number of copies of such Registration Statement, each amendment and supplement thereto, the Prospectus included in such Registration Statement (including each preliminary Prospectus) and such other documents as such seller may reasonably request in order to facilitate the disposition of the Registrable Common Stock owned by such seller, and the Company consents to the use of such Prospectus, including each preliminary Prospectus, by Holders of Registrable Common Stock, in connection with the offering and sale of Registrable Common Stock covered by any such Prospectus;</w:t>
      </w:r>
    </w:p>
    <w:p>
      <w:pPr>
        <w:spacing w:after="0" w:line="142" w:lineRule="exact"/>
        <w:rPr>
          <w:rFonts w:ascii="Arial" w:cs="Arial" w:eastAsia="Arial" w:hAnsi="Arial"/>
          <w:sz w:val="18"/>
          <w:szCs w:val="18"/>
          <w:color w:val="auto"/>
        </w:rPr>
      </w:pPr>
    </w:p>
    <w:p>
      <w:pPr>
        <w:ind w:right="280" w:firstLine="464"/>
        <w:spacing w:after="0" w:line="303" w:lineRule="auto"/>
        <w:tabs>
          <w:tab w:leader="none" w:pos="705" w:val="left"/>
        </w:tabs>
        <w:numPr>
          <w:ilvl w:val="1"/>
          <w:numId w:val="16"/>
        </w:numPr>
        <w:rPr>
          <w:rFonts w:ascii="Arial" w:cs="Arial" w:eastAsia="Arial" w:hAnsi="Arial"/>
          <w:sz w:val="15"/>
          <w:szCs w:val="15"/>
          <w:color w:val="auto"/>
        </w:rPr>
      </w:pPr>
      <w:r>
        <w:rPr>
          <w:rFonts w:ascii="Arial" w:cs="Arial" w:eastAsia="Arial" w:hAnsi="Arial"/>
          <w:sz w:val="15"/>
          <w:szCs w:val="15"/>
          <w:color w:val="auto"/>
        </w:rPr>
        <w:t>use its commercially reasonable efforts to register or qualify such Registrable Common Stock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Common Stock owned by such seller (provided, that the Company will not be required to</w:t>
      </w:r>
    </w:p>
    <w:p>
      <w:pPr>
        <w:spacing w:after="0" w:line="1" w:lineRule="exact"/>
        <w:rPr>
          <w:rFonts w:ascii="Arial" w:cs="Arial" w:eastAsia="Arial" w:hAnsi="Arial"/>
          <w:sz w:val="15"/>
          <w:szCs w:val="15"/>
          <w:color w:val="auto"/>
        </w:rPr>
      </w:pPr>
    </w:p>
    <w:p>
      <w:pPr>
        <w:ind w:right="520" w:firstLine="8"/>
        <w:spacing w:after="0" w:line="261"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 generally to do business in any jurisdiction where it would not otherwise be required to qualify but for this subparagraph (d), (ii) subject itself to taxation in any such jurisdiction or (iii) consent to general service of process in any such jurisdiction);</w:t>
      </w:r>
    </w:p>
    <w:p>
      <w:pPr>
        <w:spacing w:after="0" w:line="137" w:lineRule="exact"/>
        <w:rPr>
          <w:rFonts w:ascii="Arial" w:cs="Arial" w:eastAsia="Arial" w:hAnsi="Arial"/>
          <w:sz w:val="18"/>
          <w:szCs w:val="18"/>
          <w:color w:val="auto"/>
        </w:rPr>
      </w:pPr>
    </w:p>
    <w:p>
      <w:pPr>
        <w:ind w:right="80" w:firstLine="464"/>
        <w:spacing w:after="0" w:line="254"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notify each seller of such Registrable Common Stock, at any time when a Prospectus relating thereto is required to be delivered under the Securities Act, of the occurrence of any event as a result of which the Registration Statement, including the Prospectus contained therein, contains an untrue statement of a material fact or omits any fact required to be stated therein or necessary to make the statements therein not misleading, and, at the request of any such seller, the Company shall prepare a supplement or amendment to such Registration Statement so that, as thereafter delivered to the purchasers of such Registrable Common Stock, such Prospectus shall not contain an untrue statement of a material fact or omit to state any material fact necessary to make the statements therein not misleading;</w:t>
      </w:r>
    </w:p>
    <w:p>
      <w:pPr>
        <w:spacing w:after="0" w:line="144" w:lineRule="exact"/>
        <w:rPr>
          <w:rFonts w:ascii="Arial" w:cs="Arial" w:eastAsia="Arial" w:hAnsi="Arial"/>
          <w:sz w:val="18"/>
          <w:szCs w:val="18"/>
          <w:color w:val="auto"/>
        </w:rPr>
      </w:pPr>
    </w:p>
    <w:p>
      <w:pPr>
        <w:ind w:firstLine="464"/>
        <w:spacing w:after="0" w:line="290" w:lineRule="auto"/>
        <w:tabs>
          <w:tab w:leader="none" w:pos="676"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case of an underwritten offering, enter into such customary agreements (including underwriting agreements in customary form) and take all such other actions as the Holders of a majority of number of shares of the Registrable Common Stock being sold or the underwriters, if any, reasonably request in order to expedite or facilitate the disposition of such Registrable Common Stock, (including making executive officers of the Company available to participate in, and cause them to cooperate with the underwriters in connection with, “road-show” and other customary marketing activities (including one-on-one meetings with prospective purchasers of the Registrable Common Stock), and cause to be delivered to the underwriters and the sellers, if any, opinions of counsel to the Company in customary form, covering such matters as are customarily covered by opinions for an underwritten public offering as the underwriters may request and addressed to the underwriters and the sellers;</w:t>
      </w:r>
    </w:p>
    <w:p>
      <w:pPr>
        <w:spacing w:after="0" w:line="118" w:lineRule="exact"/>
        <w:rPr>
          <w:rFonts w:ascii="Arial" w:cs="Arial" w:eastAsia="Arial" w:hAnsi="Arial"/>
          <w:sz w:val="16"/>
          <w:szCs w:val="16"/>
          <w:color w:val="auto"/>
        </w:rPr>
      </w:pPr>
    </w:p>
    <w:p>
      <w:pPr>
        <w:ind w:right="600" w:firstLine="464"/>
        <w:spacing w:after="0" w:line="268"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subject to receipt of reasonably acceptable confidentiality agreements, make available, for inspection by representative of a seller of Registrable Common Stock,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5" w:name="page26"/>
    <w:bookmarkEnd w:id="25"/>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and independent accountants to supply all information reasonably requested by any such seller, underwriter, attorney, accountant or agent in connection with such Registration Statement;</w:t>
      </w:r>
    </w:p>
    <w:p>
      <w:pPr>
        <w:spacing w:after="0" w:line="143" w:lineRule="exact"/>
        <w:rPr>
          <w:sz w:val="20"/>
          <w:szCs w:val="20"/>
          <w:color w:val="auto"/>
        </w:rPr>
      </w:pPr>
    </w:p>
    <w:p>
      <w:pPr>
        <w:jc w:val="both"/>
        <w:ind w:right="160" w:firstLine="464"/>
        <w:spacing w:after="0" w:line="370" w:lineRule="auto"/>
        <w:tabs>
          <w:tab w:leader="none" w:pos="7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use its commercially reasonable efforts to cause all such Registrable Common Stock to be listed on each securities exchange on which securities of the same class issued by the Company are then listed or, if no such similar securities are then listed, on a national securities exchange selected by the Company;</w:t>
      </w:r>
    </w:p>
    <w:p>
      <w:pPr>
        <w:spacing w:after="0" w:line="62" w:lineRule="exact"/>
        <w:rPr>
          <w:rFonts w:ascii="Arial" w:cs="Arial" w:eastAsia="Arial" w:hAnsi="Arial"/>
          <w:sz w:val="15"/>
          <w:szCs w:val="15"/>
          <w:color w:val="auto"/>
        </w:rPr>
      </w:pPr>
    </w:p>
    <w:p>
      <w:pPr>
        <w:ind w:left="680" w:hanging="216"/>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Common Stock not later than the effective date of such Registration Statement;</w:t>
      </w:r>
    </w:p>
    <w:p>
      <w:pPr>
        <w:spacing w:after="0" w:line="194" w:lineRule="exact"/>
        <w:rPr>
          <w:rFonts w:ascii="Arial" w:cs="Arial" w:eastAsia="Arial" w:hAnsi="Arial"/>
          <w:sz w:val="16"/>
          <w:szCs w:val="16"/>
          <w:color w:val="auto"/>
        </w:rPr>
      </w:pPr>
    </w:p>
    <w:p>
      <w:pPr>
        <w:ind w:firstLine="464"/>
        <w:spacing w:after="0" w:line="253"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requested, cause to be delivered, immediately prior to the effectiveness of the Registration Statement (and, in the case of an underwritten offering, at the time of delivery of any Registrable Common Stock sold pursuant thereto), letters from the Company’s independent certified public accountants addressed to each selling Holder (unless such selling Holder does not provide to such accountants the appropriate representation letter required by rules governing the accounting profession) and each underwriter, if any, stating that such accountants are independent public accountants within the meaning of the Securities Act and the applicable rules and regulations adopted by the SEC thereunder, and otherwise in customary form and covering such financial and accounting matters as are customarily covered by letters of the independent certified public accountants delivered in connection with primary or secondary underwritten public offerings, as the case may be;</w:t>
      </w:r>
    </w:p>
    <w:p>
      <w:pPr>
        <w:spacing w:after="0" w:line="147" w:lineRule="exact"/>
        <w:rPr>
          <w:rFonts w:ascii="Arial" w:cs="Arial" w:eastAsia="Arial" w:hAnsi="Arial"/>
          <w:sz w:val="18"/>
          <w:szCs w:val="18"/>
          <w:color w:val="auto"/>
        </w:rPr>
      </w:pPr>
    </w:p>
    <w:p>
      <w:pPr>
        <w:ind w:right="220" w:firstLine="464"/>
        <w:spacing w:after="0" w:line="256"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generally available to its stockholders a consolidated earnings statement (which need not be audited) for the 12 months (or, if applicable, such shorter period that the Company has been in existence) beginning after the effective date of a Registration Statement as soon as reasonably practicable after the end of such period, which earnings statement shall satisfy the requirements of an earning statement under Section 11(a) of the Securities Act and Rule 158 thereunder;</w:t>
      </w:r>
    </w:p>
    <w:p>
      <w:pPr>
        <w:spacing w:after="0" w:line="143" w:lineRule="exact"/>
        <w:rPr>
          <w:rFonts w:ascii="Arial" w:cs="Arial" w:eastAsia="Arial" w:hAnsi="Arial"/>
          <w:sz w:val="18"/>
          <w:szCs w:val="18"/>
          <w:color w:val="auto"/>
        </w:rPr>
      </w:pPr>
    </w:p>
    <w:p>
      <w:pPr>
        <w:ind w:right="300" w:firstLine="464"/>
        <w:spacing w:after="0" w:line="298"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cooperate with each selling Holder of Registrable Common Stock and each underwriter participating in the disposition of such Registrable Common Stock and their respective counsel in connection with any filings required to be made with the National Association of Securities Dealers, Inc. and make reasonably available its employees and personnel and otherwise provide reasonable assistance to the underwriters (taking into account the needs of the Company’s businesses and the requirements of the marketing process) in the marketing of Registrable Common Stock in any underwritten offering.</w:t>
      </w:r>
    </w:p>
    <w:p>
      <w:pPr>
        <w:spacing w:after="0" w:line="112" w:lineRule="exact"/>
        <w:rPr>
          <w:rFonts w:ascii="Arial" w:cs="Arial" w:eastAsia="Arial" w:hAnsi="Arial"/>
          <w:sz w:val="16"/>
          <w:szCs w:val="16"/>
          <w:color w:val="auto"/>
        </w:rPr>
      </w:pPr>
    </w:p>
    <w:p>
      <w:pPr>
        <w:ind w:right="100" w:firstLine="464"/>
        <w:spacing w:after="0" w:line="306" w:lineRule="auto"/>
        <w:tabs>
          <w:tab w:leader="none" w:pos="7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 its best efforts to prevent the issuance of any stop order or other suspension of effectiveness of a Registration Statement, or the suspension of the qualification of any of the Registrable Common Stock for sale in any jurisdiction and, if such an order or suspension is issued, to use reasonable efforts to obtain the withdrawal of such order or suspension at the earliest possible moment and to notify each seller of Registrable Common Stock being sold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issuance of such order and the resolution thereof or its receipt of actual notice of the initiation or threat of any proceeding for such purpose.</w:t>
      </w:r>
    </w:p>
    <w:p>
      <w:pPr>
        <w:spacing w:after="0" w:line="171"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promptly notify each seller of Registrable Common Stock and the underwriter or underwriters, if any:</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when the Registration Statement, pre-effective amendment, the Prospectus or any Prospectus supplement or post-effective amendment to the</w:t>
      </w:r>
    </w:p>
    <w:p>
      <w:pPr>
        <w:spacing w:after="0" w:line="38" w:lineRule="exact"/>
        <w:rPr>
          <w:rFonts w:ascii="Arial" w:cs="Arial" w:eastAsia="Arial" w:hAnsi="Arial"/>
          <w:sz w:val="16"/>
          <w:szCs w:val="16"/>
          <w:color w:val="auto"/>
        </w:rPr>
      </w:pPr>
    </w:p>
    <w:p>
      <w:pPr>
        <w:ind w:left="920" w:right="180"/>
        <w:spacing w:after="0" w:line="261" w:lineRule="auto"/>
        <w:rPr>
          <w:rFonts w:ascii="Arial" w:cs="Arial" w:eastAsia="Arial" w:hAnsi="Arial"/>
          <w:sz w:val="16"/>
          <w:szCs w:val="16"/>
          <w:color w:val="auto"/>
        </w:rPr>
      </w:pPr>
      <w:r>
        <w:rPr>
          <w:rFonts w:ascii="Arial" w:cs="Arial" w:eastAsia="Arial" w:hAnsi="Arial"/>
          <w:sz w:val="18"/>
          <w:szCs w:val="18"/>
          <w:color w:val="auto"/>
        </w:rPr>
        <w:t>Registration Statement has been filed and, with respect to the Registration Statement or any post-effective amendment, when the same has become effective;</w:t>
      </w:r>
    </w:p>
    <w:p>
      <w:pPr>
        <w:spacing w:after="0" w:line="56" w:lineRule="exact"/>
        <w:rPr>
          <w:rFonts w:ascii="Arial" w:cs="Arial" w:eastAsia="Arial" w:hAnsi="Arial"/>
          <w:sz w:val="16"/>
          <w:szCs w:val="16"/>
          <w:color w:val="auto"/>
        </w:rPr>
      </w:pPr>
    </w:p>
    <w:p>
      <w:pPr>
        <w:ind w:left="1180" w:hanging="259"/>
        <w:spacing w:after="0"/>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 any written request by the SEC for amendments or supplements to the Registration Statement or Prospectus;</w:t>
      </w:r>
    </w:p>
    <w:p>
      <w:pPr>
        <w:spacing w:after="0" w:line="90" w:lineRule="exact"/>
        <w:rPr>
          <w:rFonts w:ascii="Arial" w:cs="Arial" w:eastAsia="Arial" w:hAnsi="Arial"/>
          <w:sz w:val="18"/>
          <w:szCs w:val="18"/>
          <w:color w:val="auto"/>
        </w:rPr>
      </w:pPr>
    </w:p>
    <w:p>
      <w:pPr>
        <w:ind w:left="920" w:right="460" w:firstLine="1"/>
        <w:spacing w:after="0" w:line="268" w:lineRule="auto"/>
        <w:tabs>
          <w:tab w:leader="none" w:pos="12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 the notification to the Company by the SEC of its initiation of any proceeding with respect to the issuance by the SEC of any stop order suspending the effectiveness of the Registration Statement; and</w:t>
      </w:r>
    </w:p>
    <w:p>
      <w:pPr>
        <w:spacing w:after="0" w:line="50" w:lineRule="exact"/>
        <w:rPr>
          <w:rFonts w:ascii="Arial" w:cs="Arial" w:eastAsia="Arial" w:hAnsi="Arial"/>
          <w:sz w:val="18"/>
          <w:szCs w:val="18"/>
          <w:color w:val="auto"/>
        </w:rPr>
      </w:pPr>
    </w:p>
    <w:p>
      <w:pPr>
        <w:ind w:left="920" w:right="140" w:firstLine="1"/>
        <w:spacing w:after="0" w:line="268" w:lineRule="auto"/>
        <w:tabs>
          <w:tab w:leader="none" w:pos="12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 the receipt by the Company of any notification with respect to the suspension of the qualification of any Registrable Common Stock for sale under the applicable securities or blue sky laws of any jurisdiction.</w:t>
      </w:r>
    </w:p>
    <w:p>
      <w:pPr>
        <w:spacing w:after="0" w:line="131" w:lineRule="exact"/>
        <w:rPr>
          <w:rFonts w:ascii="Arial" w:cs="Arial" w:eastAsia="Arial" w:hAnsi="Arial"/>
          <w:sz w:val="18"/>
          <w:szCs w:val="18"/>
          <w:color w:val="auto"/>
        </w:rPr>
      </w:pPr>
    </w:p>
    <w:p>
      <w:pPr>
        <w:jc w:val="both"/>
        <w:ind w:right="60" w:firstLine="464"/>
        <w:spacing w:after="0" w:line="298"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all times after the Company has filed a registration statement with the SEC pursuant to the requirements of either the Securities Act or the Exchange Act, the Company shall file all reports and other documents required to be filed by it under the Securities Act and the Exchange Act and the rules and regulations adopted by the SEC thereunder, and take such further action as any Holders may reasonably request, all to the extent required to enable such Holders to be eligible to sell Registrable Common Stock pursuant to Rule 144 under the Securities Act (or any similar rule then in effect).</w:t>
      </w:r>
    </w:p>
    <w:p>
      <w:pPr>
        <w:spacing w:after="0" w:line="112" w:lineRule="exact"/>
        <w:rPr>
          <w:rFonts w:ascii="Arial" w:cs="Arial" w:eastAsia="Arial" w:hAnsi="Arial"/>
          <w:sz w:val="16"/>
          <w:szCs w:val="16"/>
          <w:color w:val="auto"/>
        </w:rPr>
      </w:pPr>
    </w:p>
    <w:p>
      <w:pPr>
        <w:jc w:val="both"/>
        <w:ind w:right="220" w:firstLine="464"/>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condition to being included in any Registration Statement, the Company may require each seller of Registrable Common Stock as to which any registration is being effected to furnish to the Company any other information regarding such seller and the distribution of such securities as the Company may from time to time reasonably request in writing.</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seller of Registrable Common Stock agrees by having its stock treated as Registrable Common Stock hereunder that, upon notice of the happening of any event as a result of which the Prospectus included in such Registration Statement contains an untrue statement of a material fact or omits any material fact necessary to make the statements therein not misleading (a “</w:t>
      </w:r>
      <w:r>
        <w:rPr>
          <w:rFonts w:ascii="Arial" w:cs="Arial" w:eastAsia="Arial" w:hAnsi="Arial"/>
          <w:sz w:val="16"/>
          <w:szCs w:val="16"/>
          <w:i w:val="1"/>
          <w:iCs w:val="1"/>
          <w:color w:val="auto"/>
        </w:rPr>
        <w:t>Suspension Notice</w:t>
      </w:r>
      <w:r>
        <w:rPr>
          <w:rFonts w:ascii="Arial" w:cs="Arial" w:eastAsia="Arial" w:hAnsi="Arial"/>
          <w:sz w:val="16"/>
          <w:szCs w:val="16"/>
          <w:color w:val="auto"/>
        </w:rPr>
        <w:t>”), such seller will forthwith discontinue disposition of Registrable Common Stock until such seller is advised in writing by the Company that the use of the Prospectus may be resumed and is furnished with a supplemented or amended Prospectus as contemplated by Section 5(e) hereof, and, if so directed by the Company, such seller, at its option, either will destroy or deliver to the Company (at the Company’s expense) all copies, other than permanent file copies then in such seller’s possession, of the Prospectus covering such Registrable Common Stock current at the time of receipt of such notice; provided, however, that such postponement of sales of Registrable Common Stock by the Holders shall not exceed thirty (30) days in the aggregate in any three-month period or ninety (90) days in the aggregate in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7" w:name="page28"/>
    <w:bookmarkEnd w:id="2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year except as a result of a refusal by the SEC to declare any post-effective amendment to the Registration Statement effective after the Company has used all commercially reasonable efforts to cause such post-effective amendment to be declared effective, in which case the Company shall terminate the suspension of the use of the Registration Statement immediately following the effective date of the post-effective amendment. If the Company shall give any notice to suspend the disposition of Registrable Common Stock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receives the copies of the supplemented or amended Prospectus contemplated by Section 6(e). In any event, the Company shall not be entitled to deliver more than three (3) Suspension Notices in any one year.</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Registration Expenses</w:t>
      </w:r>
      <w:r>
        <w:rPr>
          <w:rFonts w:ascii="Arial" w:cs="Arial" w:eastAsia="Arial" w:hAnsi="Arial"/>
          <w:sz w:val="15"/>
          <w:szCs w:val="15"/>
          <w:color w:val="auto"/>
        </w:rPr>
        <w:t>.</w:t>
      </w:r>
    </w:p>
    <w:p>
      <w:pPr>
        <w:spacing w:after="0" w:line="96" w:lineRule="exact"/>
        <w:rPr>
          <w:sz w:val="20"/>
          <w:szCs w:val="20"/>
          <w:color w:val="auto"/>
        </w:rPr>
      </w:pPr>
    </w:p>
    <w:p>
      <w:pPr>
        <w:ind w:firstLine="464"/>
        <w:spacing w:after="0" w:line="287" w:lineRule="auto"/>
        <w:tabs>
          <w:tab w:leader="none" w:pos="6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fees and expenses incident to the Company’s performance of or compliance with this Agreement, including, without limitation, all registration and filing fees, fees and expenses of compliance with securities or blue sky laws, listing application fees, printing, word processing, telephone, messenger and delivery expenses, transfer agent’s and registrar’s fees, cost of distributing Prospectuses in preliminary and final form as well as any supplements thereto, and fees and disbursements of counsel for the Company, one counsel retained by the Holders of Registrable Common Stock and all independent certified public accountants and other Persons retained by the Company (all such expenses being herein called “</w:t>
      </w:r>
      <w:r>
        <w:rPr>
          <w:rFonts w:ascii="Arial" w:cs="Arial" w:eastAsia="Arial" w:hAnsi="Arial"/>
          <w:sz w:val="16"/>
          <w:szCs w:val="16"/>
          <w:i w:val="1"/>
          <w:iCs w:val="1"/>
          <w:color w:val="auto"/>
        </w:rPr>
        <w:t>Registration Expenses</w:t>
      </w:r>
      <w:r>
        <w:rPr>
          <w:rFonts w:ascii="Arial" w:cs="Arial" w:eastAsia="Arial" w:hAnsi="Arial"/>
          <w:sz w:val="16"/>
          <w:szCs w:val="16"/>
          <w:color w:val="auto"/>
        </w:rPr>
        <w:t>”) (but not including any underwriting discounts or commissions attributable to the sale of Registrable Common Stock or fees and expenses of more than one counsel representing the Holders of Registrable Common Stock, which shall be borne by the Holders), shall be borne by the Company (whether or not any Registration Statement is declared effective or any of the transactions described herein is consummated). In addition, the Company shall pay its internal expenses, the expense of any annual audit or quarterly review, the expense of any liability insurance and the expenses and fees for listing the securities to be registered on each securities exchange on which they are to be listed.</w:t>
      </w:r>
    </w:p>
    <w:p>
      <w:pPr>
        <w:spacing w:after="0" w:line="122" w:lineRule="exact"/>
        <w:rPr>
          <w:rFonts w:ascii="Arial" w:cs="Arial" w:eastAsia="Arial" w:hAnsi="Arial"/>
          <w:sz w:val="16"/>
          <w:szCs w:val="16"/>
          <w:color w:val="auto"/>
        </w:rPr>
      </w:pPr>
    </w:p>
    <w:p>
      <w:pPr>
        <w:ind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each registration initiated hereunder (whether a Demand Registration or a Piggyback Registration), the Company shall reimburse the Holders covered by such registration or sale for the reasonable fees and disbursements of one law firm chosen by the Holders of a majority of the number of shares of Registrable Common Stock included in such registration sale.</w:t>
      </w:r>
    </w:p>
    <w:p>
      <w:pPr>
        <w:spacing w:after="0" w:line="140" w:lineRule="exact"/>
        <w:rPr>
          <w:rFonts w:ascii="Arial" w:cs="Arial" w:eastAsia="Arial" w:hAnsi="Arial"/>
          <w:sz w:val="18"/>
          <w:szCs w:val="18"/>
          <w:color w:val="auto"/>
        </w:rPr>
      </w:pPr>
    </w:p>
    <w:p>
      <w:pPr>
        <w:ind w:right="160" w:firstLine="464"/>
        <w:spacing w:after="0" w:line="255"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obligation of the Company to bear the expenses described in Section 6(a) and to reimburse the Holders for the expenses described in Section 6(b) shall apply irrespective of whether a registration, once properly demanded, if applicable, becomes effective, is withdrawn or suspended, is converted to another form of registration and irrespective of when any of the foregoing shall occur; provided, however, that Registration Expenses for any Registration Statement withdrawn solely at the request of a Holder of Registrable Common Stock (unless withdrawn following postponement of filing by the Company in accordance with Section 2(c) (i)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(ii)) or any supplements or amendments to a Registration Statement or Prospectus resulting from a misstatement furnished to the Company by a Holder shall be borne by such Holder.</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96" w:lineRule="exact"/>
        <w:rPr>
          <w:sz w:val="20"/>
          <w:szCs w:val="20"/>
          <w:color w:val="auto"/>
        </w:rPr>
      </w:pPr>
    </w:p>
    <w:p>
      <w:pPr>
        <w:ind w:right="80" w:firstLine="464"/>
        <w:spacing w:after="0" w:line="28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indemnify and hold harmless, to the fullest extent permitted by law, each Holder, its officers, directors and Affiliates, employees and agents of such Holder and each Person, if any, who controls such Holder (within the meaning of Section 15 of the Securities Act or Section 20 of the Exchange Act) from and against all losses, claims, damages, liabilities, judgments and expenses (including without limitation, the reasonable fees and other expenses incurred in connection with any suit, action, investigation or proceeding or any claim asserted) caused by, arising out of, in connection with or based upon, any untrue or alleged untrue statement of material fact contained in any Registration Statement, Prospectus (including any preliminary Prospectus) or any amendment thereof or supplement thereto or any omission or alleged omission of a material fact required to be stated therein or necessary to make the statements therein, in the case of the Prospectus in the light of the circumstances under which they were made, not misleading or any violation or alleged violation by the Company of the Securities Act, the Exchange Act or applicable “blue sky” laws, except insofar as the same are made in reliance and in conformity with information relating to such Holder furnished in writing to the Company by such Holder expressly for use therein or caused by such Holder’s failure to deliver to such Holder’s immediate purchaser a copy of the Prospectus or any amendments or supplements thereto (if the same was required by applicable law to be so delivered) after the Company has furnished such Holder with a sufficient number of copies of the same.</w:t>
      </w:r>
    </w:p>
    <w:p>
      <w:pPr>
        <w:spacing w:after="0" w:line="127" w:lineRule="exact"/>
        <w:rPr>
          <w:rFonts w:ascii="Arial" w:cs="Arial" w:eastAsia="Arial" w:hAnsi="Arial"/>
          <w:sz w:val="16"/>
          <w:szCs w:val="16"/>
          <w:color w:val="auto"/>
        </w:rPr>
      </w:pPr>
    </w:p>
    <w:p>
      <w:pPr>
        <w:ind w:right="20" w:firstLine="464"/>
        <w:spacing w:after="0" w:line="286"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 Holder of Registrable Common Stock is participating, each such Holder shall furnish to the Company in writing such information and affidavits as the Company reasonably requests for use in connection with any such Registration Statement or Prospectus and, shall indemnify, to the fullest extent permitted by law, the Company, its officers, directors, Affiliates, and each Person who “controls” the Company within the meaning of the Securities Act (excluding American Capital to the extent that American Capital is the Holder of the Registrable Common Stock), against all losses, claims, damages, liabilities and expenses arising out of or based upon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the case of the Prospectus in the light of the circumstances under which they were made, not misleading, but only to the extent that the same are made in reliance and in conformity with information relating to such Holder furnished in writing to the Company by such Holder expressly for use therein or caused by such Holder’s failure to deliver to such Holder’s immediate purchaser a copy of the Prospectus or any amendments or supplements thereto (if the same was required by applicable law to be so delivered) after the Company has furnished such Holder with a sufficient number of copies of the same; provided, however, that the obligation to indemnify shall be several, not joint and several, among such Holders and the liability of each such Holder shall be in proportion to and limited to the net amount received by such Holder from the sale of Registrable Common Stock pursuant to such Registration Statement.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9" w:name="page30"/>
    <w:bookmarkEnd w:id="29"/>
    <w:p>
      <w:pPr>
        <w:ind w:left="-20" w:firstLine="464"/>
        <w:spacing w:after="0" w:line="286" w:lineRule="auto"/>
        <w:tabs>
          <w:tab w:leader="none" w:pos="675"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entitled to indemnification hereunder shall (i) give prompt written notice to the indemnifying party of any claim with respect to which it seeks indemnification and (ii) unless in such indemnified party’s reasonable judgment a conflict of interest between such indemnified and indemnifying parties may exist with respect to such claim, such indemnifying party shall assume the defense of such claim with counsel reasonably satisfactory to the indemnified party. If such defense is assumed, the indemnifying party shall not be subject to any liability for any settlement made by the indemnified party without its consent (but such consent will not be unreasonably withheld, conditioned or delayed). An indemnifying party who is not entitled to, or elects not to, assume the defense of a claim shall not be obligated to pay the fees and expenses of more than one counsel for each party indemnified by such indemnifying party with respect to such claim, unless in the reasonable judgment of any indemnified party there may be one or more legal or equitable defenses available to such indemnified party which are in addition to or may conflict with those available to another indemnified party with respect to such claim. Failure to give prompt written notice shall not release the indemnifying party from its obligations hereunder. No indemnifying party shall, without the prior written consent of the indemnified party, consent to entry of any judgment or enter into any settlement or other compromise (i) which does not include as an unconditional term thereof the giving by the claimant or plaintiff to such indemnified party of a release from all liability in respect to such claim or litigation or (ii) which includes any statement of admission of fault, culpability or failure to act by or on behalf of such indemnified party.</w:t>
      </w:r>
    </w:p>
    <w:p>
      <w:pPr>
        <w:spacing w:after="0" w:line="124" w:lineRule="exact"/>
        <w:rPr>
          <w:rFonts w:ascii="Arial" w:cs="Arial" w:eastAsia="Arial" w:hAnsi="Arial"/>
          <w:sz w:val="16"/>
          <w:szCs w:val="16"/>
          <w:color w:val="auto"/>
        </w:rPr>
      </w:pPr>
    </w:p>
    <w:p>
      <w:pPr>
        <w:ind w:left="-20" w:right="80" w:firstLine="464"/>
        <w:spacing w:after="0" w:line="259"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or the termination of this agreement.</w:t>
      </w:r>
    </w:p>
    <w:p>
      <w:pPr>
        <w:spacing w:after="0" w:line="140" w:lineRule="exact"/>
        <w:rPr>
          <w:rFonts w:ascii="Arial" w:cs="Arial" w:eastAsia="Arial" w:hAnsi="Arial"/>
          <w:sz w:val="18"/>
          <w:szCs w:val="18"/>
          <w:color w:val="auto"/>
        </w:rPr>
      </w:pPr>
    </w:p>
    <w:p>
      <w:pPr>
        <w:ind w:left="-20" w:firstLine="464"/>
        <w:spacing w:after="0" w:line="286" w:lineRule="auto"/>
        <w:tabs>
          <w:tab w:leader="none" w:pos="6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indemnification provided for in or pursuant to this Section 8 is unavailable, unenforceable or insufficient to hold harmless any indemnified Person in respect of any losses, claims, damages, liabilities or expenses referred to herein, then each applicable indemnifying party, in lieu of indemnifying such indemnified party, shall contribute to the amount paid or payable by such indemnified Person as a result of such losses, claims, damages, liabilities or expenses in such proportion as is appropriate to reflect the relative fault of the indemnifying party on the one hand and of the indemnified party on the other in connection with the statements or omissions which result in such losses, claims, damages, liabilities or expenses as well as any other relevant equitable considerations. The relative fault of the indemnifying party on the one hand and of the indemnified Person on the other shall be determined by reference to, among other things, whether the untrue or alleged untrue statement of a material fact or the omission or alleged omission to state a material fact relates to information supplied by the indemnifying party or by the indemnified party, and by such party’s relative intent, knowledge, access to information and opportunity to correct or prevent such statement or omission. In no event shall the liability of any selling Holder be greater in amount than the amount of net proceeds received by such Holder upon such sale or the amount for which such indemnifying party would have been obligated to pay by way of indemnification if the indemnification provided for under Section 8(a) or 8(b) hereof had been available under the circumstances. The indemnity and contribution agreements contained in this Section 7 are in addition to any liability which the indemnifying Persons may otherwise have to the indemnified Persons hereunder, under applicable law or at equity.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w:t>
      </w:r>
      <w:r>
        <w:rPr>
          <w:sz w:val="20"/>
          <w:szCs w:val="20"/>
          <w:color w:val="auto"/>
        </w:rPr>
        <w:tab/>
      </w:r>
      <w:r>
        <w:rPr>
          <w:rFonts w:ascii="Arial" w:cs="Arial" w:eastAsia="Arial" w:hAnsi="Arial"/>
          <w:sz w:val="16"/>
          <w:szCs w:val="16"/>
          <w:b w:val="1"/>
          <w:bCs w:val="1"/>
          <w:color w:val="auto"/>
        </w:rPr>
        <w:t>Participation in Underwritten Registrations</w:t>
      </w:r>
      <w:r>
        <w:rPr>
          <w:rFonts w:ascii="Arial" w:cs="Arial" w:eastAsia="Arial" w:hAnsi="Arial"/>
          <w:sz w:val="16"/>
          <w:szCs w:val="16"/>
          <w:color w:val="auto"/>
        </w:rPr>
        <w: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 Person may participate in any registration hereunder that is underwritten unless such Person (a) agrees to sell such Person’s securities on the basis provided in any underwriting arrangements approved by the Person or Persons entitled hereunder to approve such arrangements and (b) completes and executes all questionnaires, powers of attorney, indemnities, underwriting agreements, opinions and other documents required under the terms of such underwriting arrangements.</w:t>
      </w:r>
    </w:p>
    <w:p>
      <w:pPr>
        <w:spacing w:after="0" w:line="2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Rule 144</w:t>
      </w:r>
      <w:r>
        <w:rPr>
          <w:rFonts w:ascii="Arial" w:cs="Arial" w:eastAsia="Arial" w:hAnsi="Arial"/>
          <w:sz w:val="15"/>
          <w:szCs w:val="15"/>
          <w:color w:val="auto"/>
        </w:rPr>
        <w: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covenants that it will file the reports required to be filed by it under the Securities Act and the Exchange Act and the rules and regulations adopted by the SEC thereunder in accordance with the requirements of the Securities Act and the Exchange Act, and it will take such further action as any Holder may reasonably request to make available adequate current public information with respect to the Company meeting the current public information requirements of Rule 144(c) under the Securities Act (to the extent such information is available), to the extent required to enable such Holder to sell Registrable Common Stock without registration under the Securities Act within the limitation of the exemptions provided by (i) Rule 144 under the Securities Act, as such Rule may be amended from time to time, or (ii) any similar rule or regulation hereafter adopted by the SEC. Upon the request of any Holder, the Company will deliver to such Holder a written statement as to whether it has complied with such information and requirements.</w:t>
      </w:r>
    </w:p>
    <w:p>
      <w:pPr>
        <w:spacing w:after="0" w:line="23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Miscellaneous</w:t>
      </w:r>
      <w:r>
        <w:rPr>
          <w:rFonts w:ascii="Arial" w:cs="Arial" w:eastAsia="Arial" w:hAnsi="Arial"/>
          <w:sz w:val="15"/>
          <w:szCs w:val="15"/>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to any party hereunder shall be in writing (including facsimile or similar writing) and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given,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American Capital Agency Corp.</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 Bethesda Metro Center,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Bethesda, Maryland 20814</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(301)654-6714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American Capital:</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American Capital Strategies, Ltd.</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 Bethesda Metro Center,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Bethesda, Maryland 20814</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(301)654-6714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 transferee Holder, to the address of such Holder set forth in the transfer documentation provided to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1" w:name="page32"/>
    <w:bookmarkEnd w:id="31"/>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such other address or facsimile number as such party (or transferee) may hereafter specify for the purpose by notice to the other parties. Each such notice, request or other communication shall be effective (a) if given by facsimile, when such facsimile is transmitted to the facsimile number specified in this Section 10(a) and the appropriate facsimile confirmation is received or (b) if given by any other means, when delivered at the address specified in this Section.</w:t>
      </w:r>
    </w:p>
    <w:p>
      <w:pPr>
        <w:spacing w:after="0" w:line="107" w:lineRule="exact"/>
        <w:rPr>
          <w:sz w:val="20"/>
          <w:szCs w:val="20"/>
          <w:color w:val="auto"/>
        </w:rPr>
      </w:pPr>
    </w:p>
    <w:p>
      <w:pPr>
        <w:ind w:firstLine="464"/>
        <w:spacing w:after="0" w:line="259"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Waivers</w:t>
      </w:r>
      <w:r>
        <w:rPr>
          <w:rFonts w:ascii="Arial" w:cs="Arial" w:eastAsia="Arial" w:hAnsi="Arial"/>
          <w:sz w:val="18"/>
          <w:szCs w:val="18"/>
          <w:color w:val="auto"/>
        </w:rPr>
        <w: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0"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for herein or otherwise agreed to in writing by the parties, all costs and expenses incurred in connection with the preparation of this Agreement shall be paid by the Company.</w:t>
      </w:r>
    </w:p>
    <w:p>
      <w:pPr>
        <w:spacing w:after="0" w:line="131" w:lineRule="exact"/>
        <w:rPr>
          <w:rFonts w:ascii="Arial" w:cs="Arial" w:eastAsia="Arial" w:hAnsi="Arial"/>
          <w:sz w:val="18"/>
          <w:szCs w:val="18"/>
          <w:color w:val="auto"/>
        </w:rPr>
      </w:pPr>
    </w:p>
    <w:p>
      <w:pPr>
        <w:ind w:right="440" w:firstLine="464"/>
        <w:spacing w:after="0" w:line="370" w:lineRule="auto"/>
        <w:tabs>
          <w:tab w:leader="none" w:pos="705"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provisions of this Agreement shall be binding upon and inure to the benefit of the parties hereto and their respective successors and assigns, it being understood that subsequent Holders of the Registrable Common Stock are intended third party beneficiaries hereof.</w:t>
      </w:r>
    </w:p>
    <w:p>
      <w:pPr>
        <w:spacing w:after="0" w:line="62" w:lineRule="exact"/>
        <w:rPr>
          <w:rFonts w:ascii="Arial" w:cs="Arial" w:eastAsia="Arial" w:hAnsi="Arial"/>
          <w:sz w:val="15"/>
          <w:szCs w:val="15"/>
          <w:color w:val="auto"/>
        </w:rPr>
      </w:pPr>
    </w:p>
    <w:p>
      <w:pPr>
        <w:ind w:right="20" w:firstLine="464"/>
        <w:spacing w:after="0" w:line="298"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rights and obligations of the parties under this Agreement shall be governed by, and construed and interpreted in accordance with, the law of the State of New York, without regard to principles of conflicts of law. Each of the parties hereto irrevocably submits to the exclusive jurisdiction of the courts of the State of New York and the United States District Court for any district within such state for the purpose of any action or judgment relating to or arising out of this Agreement or any of the transactions contemplated hereby and to the laying of venue in such court.</w:t>
      </w:r>
    </w:p>
    <w:p>
      <w:pPr>
        <w:spacing w:after="0" w:line="112" w:lineRule="exact"/>
        <w:rPr>
          <w:rFonts w:ascii="Arial" w:cs="Arial" w:eastAsia="Arial" w:hAnsi="Arial"/>
          <w:sz w:val="16"/>
          <w:szCs w:val="16"/>
          <w:color w:val="auto"/>
        </w:rPr>
      </w:pPr>
    </w:p>
    <w:p>
      <w:pPr>
        <w:ind w:firstLine="464"/>
        <w:spacing w:after="0" w:line="312" w:lineRule="auto"/>
        <w:tabs>
          <w:tab w:leader="none" w:pos="676"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Jurisdiction</w:t>
      </w:r>
      <w:r>
        <w:rPr>
          <w:rFonts w:ascii="Arial" w:cs="Arial" w:eastAsia="Arial" w:hAnsi="Arial"/>
          <w:sz w:val="15"/>
          <w:szCs w:val="15"/>
          <w:color w:val="auto"/>
        </w:rPr>
        <w:t>. Any suit, action or proceeding seeking to enforce any provision of, or based on any matter arising out of or in connection with, this Agreement or the transactions contemplated hereby may be brought in any federal or state court located in the County and State of New York,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10(a) shall be deemed effective service of process on such party.</w:t>
      </w:r>
    </w:p>
    <w:p>
      <w:pPr>
        <w:spacing w:after="0" w:line="105" w:lineRule="exact"/>
        <w:rPr>
          <w:rFonts w:ascii="Arial" w:cs="Arial" w:eastAsia="Arial" w:hAnsi="Arial"/>
          <w:sz w:val="15"/>
          <w:szCs w:val="15"/>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EACH OF THE PARTIES HERETO HEREBY IRREVOCABLY WAIVES ANY AND ALL RIGHT TO TRIAL BY JURY IN ANY LEGAL PROCEEDING ARISING OUT OF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TO THIS AGREEMENT OR THE TRANSACTIONS CONTEMPLATED HEREBY.</w:t>
      </w:r>
    </w:p>
    <w:p>
      <w:pPr>
        <w:spacing w:after="0" w:line="171" w:lineRule="exact"/>
        <w:rPr>
          <w:sz w:val="20"/>
          <w:szCs w:val="20"/>
          <w:color w:val="auto"/>
        </w:rPr>
      </w:pPr>
    </w:p>
    <w:p>
      <w:pPr>
        <w:ind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w:t>
      </w:r>
    </w:p>
    <w:p>
      <w:pPr>
        <w:spacing w:after="0" w:line="131" w:lineRule="exact"/>
        <w:rPr>
          <w:rFonts w:ascii="Arial" w:cs="Arial" w:eastAsia="Arial" w:hAnsi="Arial"/>
          <w:sz w:val="18"/>
          <w:szCs w:val="18"/>
          <w:color w:val="auto"/>
        </w:rPr>
      </w:pPr>
    </w:p>
    <w:p>
      <w:pPr>
        <w:ind w:right="80" w:firstLine="464"/>
        <w:spacing w:after="0" w:line="335" w:lineRule="auto"/>
        <w:tabs>
          <w:tab w:leader="none" w:pos="666"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between the parties with respect to the subject matter of this Agreement and supersedes all prior agreements and understandings, both oral and written, between the parties with respect to the transactions contemplated herein. No provision of this Agreement or any other agreement contemplated hereby is intended to confer on any Person other than the parties hereto any rights or remedies.</w:t>
      </w:r>
    </w:p>
    <w:p>
      <w:pPr>
        <w:spacing w:after="0" w:line="88" w:lineRule="exact"/>
        <w:rPr>
          <w:rFonts w:ascii="Arial" w:cs="Arial" w:eastAsia="Arial" w:hAnsi="Arial"/>
          <w:sz w:val="15"/>
          <w:szCs w:val="15"/>
          <w:color w:val="auto"/>
        </w:rPr>
      </w:pPr>
    </w:p>
    <w:p>
      <w:pPr>
        <w:ind w:left="680" w:hanging="216"/>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The captions herein are included for convenience of reference only and shall be ignored in the construction or interpretation hereof.</w:t>
      </w:r>
    </w:p>
    <w:p>
      <w:pPr>
        <w:spacing w:after="0" w:line="194" w:lineRule="exact"/>
        <w:rPr>
          <w:rFonts w:ascii="Arial" w:cs="Arial" w:eastAsia="Arial" w:hAnsi="Arial"/>
          <w:sz w:val="16"/>
          <w:szCs w:val="16"/>
          <w:color w:val="auto"/>
        </w:rPr>
      </w:pPr>
    </w:p>
    <w:p>
      <w:pPr>
        <w:ind w:right="80" w:firstLine="464"/>
        <w:spacing w:after="0" w:line="254"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44" w:lineRule="exact"/>
        <w:rPr>
          <w:rFonts w:ascii="Arial" w:cs="Arial" w:eastAsia="Arial" w:hAnsi="Arial"/>
          <w:sz w:val="18"/>
          <w:szCs w:val="18"/>
          <w:color w:val="auto"/>
        </w:rPr>
      </w:pPr>
    </w:p>
    <w:p>
      <w:pPr>
        <w:ind w:right="20" w:firstLine="464"/>
        <w:spacing w:after="0" w:line="298"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provisions of this Agreement, including the provisions of this sentence, may not be amended, modified or supplemented, and waivers or consents to departures from the provisions hereof may not be given without the prior written consent of the Holders of a majority of the Registrable Common Stock; provided, further, that the consent or agreement of the Company shall be required with regard to any termination, amendment, modification or supplement of, or waivers or consents to departures from, the terms hereof, which affect the Company’s obligations hereunder.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Registration Rights Agreement has been duly executed by each of the parties hereto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CAPITAL AGENCY CORP.</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Samuel A. Flax</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CAPITAL STRATEGIES, LTD.</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Samuel A. Flax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Samuel A. Flax</w:t>
      </w:r>
    </w:p>
    <w:p>
      <w:pPr>
        <w:spacing w:after="0" w:line="15" w:lineRule="exact"/>
        <w:rPr>
          <w:sz w:val="20"/>
          <w:szCs w:val="20"/>
          <w:color w:val="auto"/>
        </w:rPr>
      </w:pPr>
    </w:p>
    <w:p>
      <w:pPr>
        <w:jc w:val="right"/>
        <w:spacing w:after="0"/>
        <w:tabs>
          <w:tab w:leader="none" w:pos="4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Executive Vice President and Secretary</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MANAGEMENT AGREEMENT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Capital Agency Corp.</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American Capital Agency Management, LLC</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May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5" w:name="page36"/>
    <w:bookmarkEnd w:id="3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AGREEMENT, dated as of May 20, 2008, by and between American Capital Agency Corp.,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and American Capital Agency Management, LLC, a Delaware limited liability company (the “</w:t>
      </w:r>
      <w:r>
        <w:rPr>
          <w:rFonts w:ascii="Arial" w:cs="Arial" w:eastAsia="Arial" w:hAnsi="Arial"/>
          <w:sz w:val="16"/>
          <w:szCs w:val="16"/>
          <w:i w:val="1"/>
          <w:iCs w:val="1"/>
          <w:color w:val="auto"/>
        </w:rPr>
        <w:t>Manager</w:t>
      </w:r>
      <w:r>
        <w:rPr>
          <w:rFonts w:ascii="Arial" w:cs="Arial" w:eastAsia="Arial" w:hAnsi="Arial"/>
          <w:sz w:val="16"/>
          <w:szCs w:val="16"/>
          <w:color w:val="auto"/>
        </w:rPr>
        <w:t>”), a subsidiary of a wholly-owned portfolio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of American Capital Strategies, Ltd., a Delaware corporation (</w:t>
      </w:r>
      <w:r>
        <w:rPr>
          <w:rFonts w:ascii="Arial" w:cs="Arial" w:eastAsia="Arial" w:hAnsi="Arial"/>
          <w:sz w:val="18"/>
          <w:szCs w:val="18"/>
          <w:i w:val="1"/>
          <w:iCs w:val="1"/>
          <w:color w:val="auto"/>
        </w:rPr>
        <w:t>“American Capital”</w:t>
      </w:r>
      <w:r>
        <w:rPr>
          <w:rFonts w:ascii="Arial" w:cs="Arial" w:eastAsia="Arial" w:hAnsi="Arial"/>
          <w:sz w:val="18"/>
          <w:szCs w:val="18"/>
          <w:color w:val="auto"/>
        </w:rPr>
        <w: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WHEREAS, the Company is a newly formed corporation which intends to invest exclusively in single-family residential mortgage pass-through securities and collateralized mortgage obligations for which the principal and interest payments, if applicable, are guaranteed by (i) a U.S. Government agency such as the Government National Mortgage Association, or (ii) a U.S. Government-sponsored entity such as the Federal National Mortgage Association and the Federal Home Loan Mortgage Corporation (collectively, “</w:t>
      </w:r>
      <w:r>
        <w:rPr>
          <w:rFonts w:ascii="Arial" w:cs="Arial" w:eastAsia="Arial" w:hAnsi="Arial"/>
          <w:sz w:val="16"/>
          <w:szCs w:val="16"/>
          <w:i w:val="1"/>
          <w:iCs w:val="1"/>
          <w:color w:val="auto"/>
        </w:rPr>
        <w:t>Agency Securities</w:t>
      </w:r>
      <w:r>
        <w:rPr>
          <w:rFonts w:ascii="Arial" w:cs="Arial" w:eastAsia="Arial" w:hAnsi="Arial"/>
          <w:sz w:val="16"/>
          <w:szCs w:val="16"/>
          <w:color w:val="auto"/>
        </w:rPr>
        <w:t>”) and intends to qualify as a real estate investment trust for federal income tax purposes and will elect to receive the tax benefits accorded by Sections 856 through 860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w:t>
      </w:r>
    </w:p>
    <w:p>
      <w:pPr>
        <w:spacing w:after="0" w:line="116"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WHEREAS, the Company desires to retain the Manager to administer the business activities and day-to-day operations of the Company and to perform services for the Company in the manner and on the terms set forth herein and the Manager wishes to be retained to provide such services.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agreements hereinafter set forth, the parties hereto hereby agree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Definitions</w:t>
      </w:r>
      <w:r>
        <w:rPr>
          <w:rFonts w:ascii="Arial" w:cs="Arial" w:eastAsia="Arial" w:hAnsi="Arial"/>
          <w:sz w:val="18"/>
          <w:szCs w:val="18"/>
          <w:color w:val="auto"/>
        </w:rPr>
        <w:t>.</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The following terms shall have the meanings set forth in this Section 1(a):</w:t>
      </w:r>
    </w:p>
    <w:p>
      <w:pPr>
        <w:spacing w:after="0" w:line="90"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i w:val="1"/>
          <w:iCs w:val="1"/>
          <w:color w:val="auto"/>
        </w:rPr>
        <w:t xml:space="preserve">“Administrative Services Agreement” </w:t>
      </w:r>
      <w:r>
        <w:rPr>
          <w:rFonts w:ascii="Arial" w:cs="Arial" w:eastAsia="Arial" w:hAnsi="Arial"/>
          <w:sz w:val="18"/>
          <w:szCs w:val="18"/>
          <w:color w:val="auto"/>
        </w:rPr>
        <w:t>means an agreement between the Manager and American Capital whereby American Capital agrees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Manager with the personnel, services and resources necessary for the Manager to perform its obligations and responsibilities under this Agreement in exchange for certain fees payable by the Manager.</w:t>
      </w:r>
    </w:p>
    <w:p>
      <w:pPr>
        <w:spacing w:after="0" w:line="59" w:lineRule="exact"/>
        <w:rPr>
          <w:sz w:val="20"/>
          <w:szCs w:val="20"/>
          <w:color w:val="auto"/>
        </w:rPr>
      </w:pPr>
    </w:p>
    <w:p>
      <w:pPr>
        <w:ind w:left="460"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(i) any Person directly or indirectly controlling, controlled by, or under common control with such other Person, (ii) any executive officer, general partner or employee of such other Person, (iii) any member of the board of directors or board of managers (or bodies performing similar functions) of such Person, and (iv) any legal entity for which such Person acts as an executive officer or general partner.</w:t>
      </w:r>
    </w:p>
    <w:p>
      <w:pPr>
        <w:sectPr>
          <w:pgSz w:w="11900" w:h="16838" w:orient="portrait"/>
          <w:cols w:equalWidth="0" w:num="1">
            <w:col w:w="11360"/>
          </w:cols>
          <w:pgMar w:left="240" w:top="280" w:right="29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Agency Securities</w:t>
      </w:r>
      <w:r>
        <w:rPr>
          <w:rFonts w:ascii="Arial" w:cs="Arial" w:eastAsia="Arial" w:hAnsi="Arial"/>
          <w:sz w:val="18"/>
          <w:szCs w:val="18"/>
          <w:color w:val="auto"/>
        </w:rPr>
        <w:t>” has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Management Agreement, as amended, supplemented or otherwise modified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American Capital</w:t>
      </w:r>
      <w:r>
        <w:rPr>
          <w:rFonts w:ascii="Arial" w:cs="Arial" w:eastAsia="Arial" w:hAnsi="Arial"/>
          <w:sz w:val="18"/>
          <w:szCs w:val="18"/>
          <w:color w:val="auto"/>
        </w:rPr>
        <w:t>” has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Automatic Renewal Term</w:t>
      </w:r>
      <w:r>
        <w:rPr>
          <w:rFonts w:ascii="Arial" w:cs="Arial" w:eastAsia="Arial" w:hAnsi="Arial"/>
          <w:sz w:val="18"/>
          <w:szCs w:val="18"/>
          <w:color w:val="auto"/>
        </w:rPr>
        <w:t>” has the meaning set forth in Section 10(b)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Business Day</w:t>
      </w:r>
      <w:r>
        <w:rPr>
          <w:rFonts w:ascii="Arial" w:cs="Arial" w:eastAsia="Arial" w:hAnsi="Arial"/>
          <w:sz w:val="15"/>
          <w:szCs w:val="15"/>
          <w:color w:val="auto"/>
        </w:rPr>
        <w:t>” means any day except a Saturday, a Sunday or a day on which banking institutions in New York, New York are not required to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open.</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has the meaning set forth in Section 8(c)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closing of the Initial Public Offering.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has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par value $0.01,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Indemnified Party</w:t>
      </w:r>
      <w:r>
        <w:rPr>
          <w:rFonts w:ascii="Arial" w:cs="Arial" w:eastAsia="Arial" w:hAnsi="Arial"/>
          <w:sz w:val="18"/>
          <w:szCs w:val="18"/>
          <w:color w:val="auto"/>
        </w:rPr>
        <w:t>” has meaning set forth in Section 8(b)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Permitted Disclosure Parties</w:t>
      </w:r>
      <w:r>
        <w:rPr>
          <w:rFonts w:ascii="Arial" w:cs="Arial" w:eastAsia="Arial" w:hAnsi="Arial"/>
          <w:sz w:val="18"/>
          <w:szCs w:val="18"/>
          <w:color w:val="auto"/>
        </w:rPr>
        <w:t>” has the meaning set forth in Section 5(b)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“Conduct Policies” </w:t>
      </w:r>
      <w:r>
        <w:rPr>
          <w:rFonts w:ascii="Arial" w:cs="Arial" w:eastAsia="Arial" w:hAnsi="Arial"/>
          <w:sz w:val="18"/>
          <w:szCs w:val="18"/>
          <w:color w:val="auto"/>
        </w:rPr>
        <w:t>has the meaning set forth in Section 2(k)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has the meaning set forth in Section 5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Termination Date</w:t>
      </w:r>
      <w:r>
        <w:rPr>
          <w:rFonts w:ascii="Arial" w:cs="Arial" w:eastAsia="Arial" w:hAnsi="Arial"/>
          <w:sz w:val="18"/>
          <w:szCs w:val="18"/>
          <w:color w:val="auto"/>
        </w:rPr>
        <w:t>” has the meaning set forth in Section 10(c) hereof.</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700" w:top="280" w:right="519" w:bottom="1440" w:gutter="0" w:footer="0" w:header="0"/>
        </w:sectPr>
      </w:pPr>
    </w:p>
    <w:bookmarkStart w:id="37" w:name="page38"/>
    <w:bookmarkEnd w:id="37"/>
    <w:p>
      <w:pPr>
        <w:ind w:right="2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Equity</w:t>
      </w:r>
      <w:r>
        <w:rPr>
          <w:rFonts w:ascii="Arial" w:cs="Arial" w:eastAsia="Arial" w:hAnsi="Arial"/>
          <w:sz w:val="18"/>
          <w:szCs w:val="18"/>
          <w:color w:val="auto"/>
        </w:rPr>
        <w:t>” means the Company’s month-end stockholders’ equity, adjusted to exclude the effect of any unrealized gains or losses included in either retained earnings or other comprehensive income (loss), each computed in accordance with GAAP.</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effect in the United States on the date such principles are applied.</w:t>
      </w:r>
    </w:p>
    <w:p>
      <w:pPr>
        <w:spacing w:after="0" w:line="90"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Governing Instruments</w:t>
      </w:r>
      <w:r>
        <w:rPr>
          <w:rFonts w:ascii="Arial" w:cs="Arial" w:eastAsia="Arial" w:hAnsi="Arial"/>
          <w:sz w:val="16"/>
          <w:szCs w:val="16"/>
          <w:color w:val="auto"/>
        </w:rPr>
        <w:t>” means, with regard to any entity, the articles of incorporation or certificate of incorporation and bylaws in the case of a corporation, the partnership agreement in the case of a general or limited partnership or the certificate of formation and operating agreement in the case of a limited liability company, the trust instrument in the case of a trust, or similar governing documents in each case as amended.</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has the meaning set forth in Section 8(b) hereof.</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member of the Board of Directors who is “independent” in accordance with the Company’s Governing Instruments and the rules of Nasdaq or such other securities exchange on which the shares of Common Stock are listed.</w:t>
      </w:r>
    </w:p>
    <w:p>
      <w:pPr>
        <w:spacing w:after="0" w:line="5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Company’s sale of Common Stock to the public through underwriting pursuant to the Company’s Registration Statement on Form S-11 (No. 333-149167).</w:t>
      </w:r>
    </w:p>
    <w:p>
      <w:pPr>
        <w:spacing w:after="0" w:line="51"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Committee</w:t>
      </w:r>
      <w:r>
        <w:rPr>
          <w:rFonts w:ascii="Arial" w:cs="Arial" w:eastAsia="Arial" w:hAnsi="Arial"/>
          <w:sz w:val="18"/>
          <w:szCs w:val="18"/>
          <w:color w:val="auto"/>
        </w:rPr>
        <w:t>” means the investment committee formed by the Manager, the members of which shall consist of officers of American Capital, the Manager and/or American Capital’s other Affiliates.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Term</w:t>
      </w:r>
      <w:r>
        <w:rPr>
          <w:rFonts w:ascii="Arial" w:cs="Arial" w:eastAsia="Arial" w:hAnsi="Arial"/>
          <w:sz w:val="18"/>
          <w:szCs w:val="18"/>
          <w:color w:val="auto"/>
        </w:rPr>
        <w:t>” has the meaning set forth in Section 10(a)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90" w:lineRule="exact"/>
        <w:rPr>
          <w:sz w:val="20"/>
          <w:szCs w:val="20"/>
          <w:color w:val="auto"/>
        </w:rPr>
      </w:pPr>
    </w:p>
    <w:p>
      <w:pPr>
        <w:jc w:val="both"/>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Guidelines</w:t>
      </w:r>
      <w:r>
        <w:rPr>
          <w:rFonts w:ascii="Arial" w:cs="Arial" w:eastAsia="Arial" w:hAnsi="Arial"/>
          <w:sz w:val="18"/>
          <w:szCs w:val="18"/>
          <w:color w:val="auto"/>
        </w:rPr>
        <w:t xml:space="preserve">” means the investment guidelines proposed by the Investment Committee and approved by the Board of Directors,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as the same may amended, restated, modified, supplemented or waived by the Investment Committee, subject to the consent of a majority of the entire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(which must include a majority of the then incumbent Independent Directors).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has the meaning set forth in Section 8(a)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Fee</w:t>
      </w:r>
      <w:r>
        <w:rPr>
          <w:rFonts w:ascii="Arial" w:cs="Arial" w:eastAsia="Arial" w:hAnsi="Arial"/>
          <w:sz w:val="16"/>
          <w:szCs w:val="16"/>
          <w:color w:val="auto"/>
        </w:rPr>
        <w:t>” means the management fee, calculated and payable monthly in arrears, in an amount equal to one-twelfth of 1.25% of Equity.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Manager</w:t>
      </w:r>
      <w:r>
        <w:rPr>
          <w:rFonts w:ascii="Arial" w:cs="Arial" w:eastAsia="Arial" w:hAnsi="Arial"/>
          <w:sz w:val="18"/>
          <w:szCs w:val="18"/>
          <w:color w:val="auto"/>
        </w:rPr>
        <w:t>” has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Manager Indemnified Party</w:t>
      </w:r>
      <w:r>
        <w:rPr>
          <w:rFonts w:ascii="Arial" w:cs="Arial" w:eastAsia="Arial" w:hAnsi="Arial"/>
          <w:sz w:val="18"/>
          <w:szCs w:val="18"/>
          <w:color w:val="auto"/>
        </w:rPr>
        <w:t>” has the meaning set forth in Section 8(a)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“Manager Permitted Disclosure Parties” </w:t>
      </w:r>
      <w:r>
        <w:rPr>
          <w:rFonts w:ascii="Arial" w:cs="Arial" w:eastAsia="Arial" w:hAnsi="Arial"/>
          <w:sz w:val="18"/>
          <w:szCs w:val="18"/>
          <w:color w:val="auto"/>
        </w:rPr>
        <w:t>has the meaning set forth in Section 5(a) hereof.</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“Nasdaq” </w:t>
      </w:r>
      <w:r>
        <w:rPr>
          <w:rFonts w:ascii="Arial" w:cs="Arial" w:eastAsia="Arial" w:hAnsi="Arial"/>
          <w:sz w:val="18"/>
          <w:szCs w:val="18"/>
          <w:color w:val="auto"/>
        </w:rPr>
        <w:t>means The NASDAQ Stock Market,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Proposal to Negotiate</w:t>
      </w:r>
      <w:r>
        <w:rPr>
          <w:rFonts w:ascii="Arial" w:cs="Arial" w:eastAsia="Arial" w:hAnsi="Arial"/>
          <w:sz w:val="18"/>
          <w:szCs w:val="18"/>
          <w:color w:val="auto"/>
        </w:rPr>
        <w:t>” has the meaning set forth in Section 10(d) hereof.</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partnership, association, limited liability company, estate, trust, joint venture, any federal, state, county or municipal government or any bureau, department or agency thereof or any other legal entity and any fiduciary acting in such capacity on behalf of the foregoing.</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w:t>
      </w:r>
      <w:r>
        <w:rPr>
          <w:rFonts w:ascii="Arial" w:cs="Arial" w:eastAsia="Arial" w:hAnsi="Arial"/>
          <w:sz w:val="18"/>
          <w:szCs w:val="18"/>
          <w:color w:val="auto"/>
        </w:rPr>
        <w:t>” means a “real estate investment trust” as defined under the Code.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90" w:lineRule="exact"/>
        <w:rPr>
          <w:sz w:val="20"/>
          <w:szCs w:val="20"/>
          <w:color w:val="auto"/>
        </w:rPr>
      </w:pPr>
    </w:p>
    <w:p>
      <w:pPr>
        <w:ind w:right="3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of the Company and any partnership, the general partner of which is the Company or any subsidiary of the Company, and any limited liability company, the managing member of which is the Company or any subsidiary of the Company.</w:t>
      </w:r>
    </w:p>
    <w:p>
      <w:pPr>
        <w:spacing w:after="0" w:line="7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00" w:top="280" w:right="399" w:bottom="1440" w:gutter="0" w:footer="0" w:header="0"/>
        </w:sectPr>
      </w:pPr>
    </w:p>
    <w:bookmarkStart w:id="39" w:name="page40"/>
    <w:bookmarkEnd w:id="39"/>
    <w:p>
      <w:pPr>
        <w:ind w:left="440" w:right="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Termination Fee</w:t>
      </w:r>
      <w:r>
        <w:rPr>
          <w:rFonts w:ascii="Arial" w:cs="Arial" w:eastAsia="Arial" w:hAnsi="Arial"/>
          <w:sz w:val="18"/>
          <w:szCs w:val="18"/>
          <w:color w:val="auto"/>
        </w:rPr>
        <w:t>” means a termination fee equal to three (3) times the average annual Management Fee earned by the Manager during the 24-month period immediately preceding the most recently completed calendar quarter prior to the Effective Termination Date.</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Notice</w:t>
      </w:r>
      <w:r>
        <w:rPr>
          <w:rFonts w:ascii="Arial" w:cs="Arial" w:eastAsia="Arial" w:hAnsi="Arial"/>
          <w:sz w:val="18"/>
          <w:szCs w:val="18"/>
          <w:color w:val="auto"/>
        </w:rPr>
        <w:t>” has the meaning set forth in Section 10(c) hereof.</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Without Cause</w:t>
      </w:r>
      <w:r>
        <w:rPr>
          <w:rFonts w:ascii="Arial" w:cs="Arial" w:eastAsia="Arial" w:hAnsi="Arial"/>
          <w:sz w:val="18"/>
          <w:szCs w:val="18"/>
          <w:color w:val="auto"/>
        </w:rPr>
        <w:t>” has the meaning set forth in Section 10(c) hereof.</w:t>
      </w:r>
    </w:p>
    <w:p>
      <w:pPr>
        <w:spacing w:after="0" w:line="171" w:lineRule="exact"/>
        <w:rPr>
          <w:sz w:val="20"/>
          <w:szCs w:val="20"/>
          <w:color w:val="auto"/>
        </w:rPr>
      </w:pPr>
    </w:p>
    <w:p>
      <w:pPr>
        <w:ind w:left="-20" w:right="180" w:firstLine="1492"/>
        <w:spacing w:after="0" w:line="256" w:lineRule="auto"/>
        <w:tabs>
          <w:tab w:leader="none" w:pos="17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used herein, accounting terms relating to the Company and its Subsidiaries, if any, not defined in Section 1(a) and accounting terms partly defined in Section 1(a), to the extent not defined, shall have the respective meanings given to them under United States generally accepted accounting principles. As used herein, “calendar quarters” shall mean the period from January 1 to March 31, April 1 to June 30, July 1 to September 30 and October 1 to December 31 of the applicable year.</w:t>
      </w:r>
    </w:p>
    <w:p>
      <w:pPr>
        <w:spacing w:after="0" w:line="143" w:lineRule="exact"/>
        <w:rPr>
          <w:rFonts w:ascii="Arial" w:cs="Arial" w:eastAsia="Arial" w:hAnsi="Arial"/>
          <w:sz w:val="18"/>
          <w:szCs w:val="18"/>
          <w:color w:val="auto"/>
        </w:rPr>
      </w:pPr>
    </w:p>
    <w:p>
      <w:pPr>
        <w:ind w:left="-20" w:right="60" w:firstLine="1492"/>
        <w:spacing w:after="0" w:line="332" w:lineRule="auto"/>
        <w:tabs>
          <w:tab w:leader="none" w:pos="17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references are to this Agreement unless otherwise specified.</w:t>
      </w:r>
    </w:p>
    <w:p>
      <w:pPr>
        <w:spacing w:after="0" w:line="85" w:lineRule="exact"/>
        <w:rPr>
          <w:rFonts w:ascii="Arial" w:cs="Arial" w:eastAsia="Arial" w:hAnsi="Arial"/>
          <w:sz w:val="16"/>
          <w:szCs w:val="16"/>
          <w:color w:val="auto"/>
        </w:rPr>
      </w:pPr>
    </w:p>
    <w:p>
      <w:pPr>
        <w:ind w:left="-20" w:right="220" w:firstLine="1492"/>
        <w:spacing w:after="0" w:line="268" w:lineRule="auto"/>
        <w:tabs>
          <w:tab w:leader="none" w:pos="17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The words include, includes and including shall be deemed to be followed by the phrase “without limitation.”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 Appointment and Duties of the Manager</w:t>
      </w:r>
      <w:r>
        <w:rPr>
          <w:rFonts w:ascii="Arial" w:cs="Arial" w:eastAsia="Arial" w:hAnsi="Arial"/>
          <w:sz w:val="18"/>
          <w:szCs w:val="18"/>
          <w:color w:val="auto"/>
        </w:rPr>
        <w:t>.</w:t>
      </w:r>
    </w:p>
    <w:p>
      <w:pPr>
        <w:spacing w:after="0" w:line="96" w:lineRule="exact"/>
        <w:rPr>
          <w:sz w:val="20"/>
          <w:szCs w:val="20"/>
          <w:color w:val="auto"/>
        </w:rPr>
      </w:pPr>
    </w:p>
    <w:p>
      <w:pPr>
        <w:ind w:left="-20" w:firstLine="1492"/>
        <w:spacing w:after="0" w:line="291" w:lineRule="auto"/>
        <w:tabs>
          <w:tab w:leader="none" w:pos="17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hereby appoints the Manager to manage the investments and day-to-day operations of the Company and its Subsidiaries, subject at all times to the further terms and conditions set forth in this Agreement and to the supervision of, and such further limitations or parameters as may be imposed from time to time by, the Board of Directors. The Manager hereby agrees to use its commercially reasonable efforts to perform each of the duties set forth herein, provided that funds are made available by the Company for such purposes as set forth in Section 7 hereof. The appointment of the Manager shall be exclusive to the Manager, except to the extent that the Manager elects, in its sole and absolute discretion, in accordance with the terms of this Agreement, to cause the duties of the Manager as set forth herein to be provided by third parties.</w:t>
      </w:r>
    </w:p>
    <w:p>
      <w:pPr>
        <w:spacing w:after="0" w:line="120" w:lineRule="exact"/>
        <w:rPr>
          <w:rFonts w:ascii="Arial" w:cs="Arial" w:eastAsia="Arial" w:hAnsi="Arial"/>
          <w:sz w:val="16"/>
          <w:szCs w:val="16"/>
          <w:color w:val="auto"/>
        </w:rPr>
      </w:pPr>
    </w:p>
    <w:p>
      <w:pPr>
        <w:ind w:left="-20" w:right="640" w:firstLine="1492"/>
        <w:spacing w:after="0" w:line="332" w:lineRule="auto"/>
        <w:tabs>
          <w:tab w:leader="none" w:pos="17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Manager, in its capacity as manager of the investments and the operations of the Company, at all times will be subject to the supervision and direction of the Board of Directors and will have only such functions and authority as the Board of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40" w:name="page41"/>
    <w:bookmarkEnd w:id="4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delegate to it, including, without limitation, the functions and authority identified herein and delegated to the Manager hereby. The Manager will be responsible for the day-to-day operations of the Company and will perform (or cause to be performed) such services and activities relating to the investments and operations of the Company as may be appropriate, which may include, without limitation:</w:t>
      </w:r>
    </w:p>
    <w:p>
      <w:pPr>
        <w:spacing w:after="0" w:line="59" w:lineRule="exact"/>
        <w:rPr>
          <w:sz w:val="20"/>
          <w:szCs w:val="20"/>
          <w:color w:val="auto"/>
        </w:rPr>
      </w:pPr>
    </w:p>
    <w:p>
      <w:pPr>
        <w:ind w:left="460" w:right="180" w:firstLine="443"/>
        <w:spacing w:after="0" w:line="286" w:lineRule="auto"/>
        <w:tabs>
          <w:tab w:leader="none" w:pos="1108"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forming and maintaining the Investment Committee, which will have the following responsibilities: (A) proposing the Investment Guidelines to the Board of Directors, (B) reviewing the Company’s investment portfolio for compliance with the Investment Guidelines on a monthly basis,</w:t>
      </w:r>
    </w:p>
    <w:p>
      <w:pPr>
        <w:ind w:left="460" w:firstLine="4"/>
        <w:spacing w:after="0" w:line="255" w:lineRule="auto"/>
        <w:tabs>
          <w:tab w:leader="none" w:pos="7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the Investment Guidelines adopted by the Board of Directors on a periodic basis, (D) reviewing the diversification of the Company’s investment portfolio and the Company’s hedging and financing strategies on a monthly basis, and (E) generally be responsible for conducting or overseeing the provision of the services set forth in this Section 2.</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serving as the Company’s consultant with respect to the periodic review of the investments, borrowings and operations of the Company and other policies and recommendations with respect thereto, including, without limitation, the Investment Guidelines, in each case subject to the approval of the Board of Directors;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serving as the Company’s consultant with respect to the selection, purchase, monitoring and disposition of the Company’s investments;</w:t>
      </w:r>
    </w:p>
    <w:p>
      <w:pPr>
        <w:spacing w:after="0" w:line="113" w:lineRule="exact"/>
        <w:rPr>
          <w:rFonts w:ascii="Arial" w:cs="Arial" w:eastAsia="Arial" w:hAnsi="Arial"/>
          <w:sz w:val="16"/>
          <w:szCs w:val="16"/>
          <w:color w:val="auto"/>
        </w:rPr>
      </w:pPr>
    </w:p>
    <w:p>
      <w:pPr>
        <w:jc w:val="both"/>
        <w:ind w:left="460" w:right="340" w:firstLine="443"/>
        <w:spacing w:after="0" w:line="306" w:lineRule="auto"/>
        <w:tabs>
          <w:tab w:leader="none" w:pos="1196"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serving as the Company’s consultant with respect to decisions regarding any financings, hedging activities or borrowings undertaken by the Company or its Subsidiaries, including (1) assisting the Company in developing criteria for debt and equity financing that is specifically tailored to the Company’s investment objectives, and (2) advising the Company with respect to obtaining appropriate financing for its investments;</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advising the Company with respect to incentive plans that the Company may establish for the Independent Directors;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purchasing and financing investments on behalf of the Company;</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providing the Company with portfolio management;</w:t>
      </w:r>
    </w:p>
    <w:p>
      <w:pPr>
        <w:spacing w:after="0" w:line="90" w:lineRule="exact"/>
        <w:rPr>
          <w:rFonts w:ascii="Arial" w:cs="Arial" w:eastAsia="Arial" w:hAnsi="Arial"/>
          <w:sz w:val="18"/>
          <w:szCs w:val="18"/>
          <w:color w:val="auto"/>
        </w:rPr>
      </w:pPr>
    </w:p>
    <w:p>
      <w:pPr>
        <w:ind w:left="460" w:right="760" w:firstLine="443"/>
        <w:spacing w:after="0" w:line="332" w:lineRule="auto"/>
        <w:tabs>
          <w:tab w:leader="none" w:pos="129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engaging and supervising, on behalf of the Company and at the Company’s expense, independent contractors that provide real estate, investment banking, securities brokerage, insurance, legal, accounting, transfer agent, registrar and such other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 as may be required relating to the Company’s operations or investments (or potential investments);</w:t>
      </w:r>
    </w:p>
    <w:p>
      <w:pPr>
        <w:spacing w:after="0" w:line="90" w:lineRule="exact"/>
        <w:rPr>
          <w:sz w:val="20"/>
          <w:szCs w:val="20"/>
          <w:color w:val="auto"/>
        </w:rPr>
      </w:pPr>
    </w:p>
    <w:p>
      <w:pPr>
        <w:ind w:left="740" w:hanging="297"/>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executive and administrative personnel, office space and office services required in rendering services to the Company;</w:t>
      </w:r>
    </w:p>
    <w:p>
      <w:pPr>
        <w:spacing w:after="0" w:line="113" w:lineRule="exact"/>
        <w:rPr>
          <w:rFonts w:ascii="Arial" w:cs="Arial" w:eastAsia="Arial" w:hAnsi="Arial"/>
          <w:sz w:val="16"/>
          <w:szCs w:val="16"/>
          <w:color w:val="auto"/>
        </w:rPr>
      </w:pPr>
    </w:p>
    <w:p>
      <w:pPr>
        <w:ind w:firstLine="443"/>
        <w:spacing w:after="0" w:line="256"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performing and supervising the performance of administrative functions necessary in the management of the Company as may be agreed upon by the Manager and the Board of Directors, including, without limitation, the services in respect of any equity incentive plan the Company may establish for the Independent Directors, the collection of revenues and the payment of the Company’s debts and obligations and maintenance of appropriate information technology services to perform such administrative functions;</w:t>
      </w:r>
    </w:p>
    <w:p>
      <w:pPr>
        <w:spacing w:after="0" w:line="62" w:lineRule="exact"/>
        <w:rPr>
          <w:rFonts w:ascii="Arial" w:cs="Arial" w:eastAsia="Arial" w:hAnsi="Arial"/>
          <w:sz w:val="18"/>
          <w:szCs w:val="18"/>
          <w:color w:val="auto"/>
        </w:rPr>
      </w:pPr>
    </w:p>
    <w:p>
      <w:pPr>
        <w:ind w:right="200" w:firstLine="443"/>
        <w:spacing w:after="0" w:line="306" w:lineRule="auto"/>
        <w:tabs>
          <w:tab w:leader="none" w:pos="7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communicating on behalf of the Company with the holders of any equity or debt securities of the Company as required to satisfy the reporting and other requirements of any governmental bodies or agencies or trading exchanges or markets and to maintain effective relations with such holders, including website maintenance, logo design, analyst presentations, investor conferences and annual meeting arrangements;</w:t>
      </w:r>
    </w:p>
    <w:p>
      <w:pPr>
        <w:spacing w:after="0" w:line="25" w:lineRule="exact"/>
        <w:rPr>
          <w:rFonts w:ascii="Arial" w:cs="Arial" w:eastAsia="Arial" w:hAnsi="Arial"/>
          <w:sz w:val="16"/>
          <w:szCs w:val="16"/>
          <w:color w:val="auto"/>
        </w:rPr>
      </w:pPr>
    </w:p>
    <w:p>
      <w:pPr>
        <w:ind w:left="780" w:hanging="33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counseling the Company in connection with policy decisions to be made by the Board of Directors;</w:t>
      </w:r>
    </w:p>
    <w:p>
      <w:pPr>
        <w:spacing w:after="0" w:line="90" w:lineRule="exact"/>
        <w:rPr>
          <w:rFonts w:ascii="Arial" w:cs="Arial" w:eastAsia="Arial" w:hAnsi="Arial"/>
          <w:sz w:val="18"/>
          <w:szCs w:val="18"/>
          <w:color w:val="auto"/>
        </w:rPr>
      </w:pPr>
    </w:p>
    <w:p>
      <w:pPr>
        <w:ind w:right="20" w:firstLine="443"/>
        <w:spacing w:after="0" w:line="332" w:lineRule="auto"/>
        <w:tabs>
          <w:tab w:leader="none" w:pos="83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evaluating and recommending to the Company hedging strategies and engaging in hedging activities on behalf of the Company, consistent with such strategies, as so modified from time to time, with the Company’s qualification as a REIT and with the Investment Guidelines;</w:t>
      </w:r>
    </w:p>
    <w:p>
      <w:pPr>
        <w:spacing w:after="0" w:line="4" w:lineRule="exact"/>
        <w:rPr>
          <w:rFonts w:ascii="Arial" w:cs="Arial" w:eastAsia="Arial" w:hAnsi="Arial"/>
          <w:sz w:val="16"/>
          <w:szCs w:val="16"/>
          <w:color w:val="auto"/>
        </w:rPr>
      </w:pPr>
    </w:p>
    <w:p>
      <w:pPr>
        <w:ind w:right="780" w:firstLine="443"/>
        <w:spacing w:after="0" w:line="268" w:lineRule="auto"/>
        <w:tabs>
          <w:tab w:leader="none" w:pos="8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counseling the Company regarding the maintenance of its qualification as a REIT and monitoring compliance with the various REIT qualification tests and other rules set out in the Code and U.S. Treasury regulations promulgated thereunder;</w:t>
      </w:r>
    </w:p>
    <w:p>
      <w:pPr>
        <w:spacing w:after="0" w:line="50" w:lineRule="exact"/>
        <w:rPr>
          <w:rFonts w:ascii="Arial" w:cs="Arial" w:eastAsia="Arial" w:hAnsi="Arial"/>
          <w:sz w:val="18"/>
          <w:szCs w:val="18"/>
          <w:color w:val="auto"/>
        </w:rPr>
      </w:pPr>
    </w:p>
    <w:p>
      <w:pPr>
        <w:ind w:right="20" w:firstLine="443"/>
        <w:spacing w:after="0" w:line="268" w:lineRule="auto"/>
        <w:tabs>
          <w:tab w:leader="none" w:pos="7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counseling the Company regarding the maintenance of its exemption from status as an investment company under the Investment Company Act and monitoring compliance with the requirements for maintaining such exemption;</w:t>
      </w:r>
    </w:p>
    <w:p>
      <w:pPr>
        <w:spacing w:after="0" w:line="50" w:lineRule="exact"/>
        <w:rPr>
          <w:rFonts w:ascii="Arial" w:cs="Arial" w:eastAsia="Arial" w:hAnsi="Arial"/>
          <w:sz w:val="18"/>
          <w:szCs w:val="18"/>
          <w:color w:val="auto"/>
        </w:rPr>
      </w:pPr>
    </w:p>
    <w:p>
      <w:pPr>
        <w:ind w:right="40" w:firstLine="443"/>
        <w:spacing w:after="0" w:line="268" w:lineRule="auto"/>
        <w:tabs>
          <w:tab w:leader="none" w:pos="8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furnishing reports and statistical and economic research to the Company regarding the activities and services performed for the Company or its Subsidiaries, if any, by the Manager;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42" w:name="page43"/>
    <w:bookmarkEnd w:id="42"/>
    <w:p>
      <w:pPr>
        <w:ind w:right="400" w:firstLine="443"/>
        <w:spacing w:after="0" w:line="332" w:lineRule="auto"/>
        <w:tabs>
          <w:tab w:leader="none" w:pos="872"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monitoring the operating performance of the Company’s investments and providing periodic reports with respect thereto to the Board of Directors, including comparative information with respect to such operating performance and budgeted or projected operating results;</w:t>
      </w:r>
    </w:p>
    <w:p>
      <w:pPr>
        <w:spacing w:after="0" w:line="4" w:lineRule="exact"/>
        <w:rPr>
          <w:rFonts w:ascii="Arial" w:cs="Arial" w:eastAsia="Arial" w:hAnsi="Arial"/>
          <w:sz w:val="16"/>
          <w:szCs w:val="16"/>
          <w:color w:val="auto"/>
        </w:rPr>
      </w:pPr>
    </w:p>
    <w:p>
      <w:pPr>
        <w:ind w:firstLine="443"/>
        <w:spacing w:after="0" w:line="259" w:lineRule="auto"/>
        <w:tabs>
          <w:tab w:leader="none" w:pos="9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investing and re-investing any monies and securities of the Company (including in short-term investments, payment of fees, costs and expenses, or payments of dividends or distributions to stockholders and partners of the Company) and advising the Company as to its capital structure and capital-raising activities;</w:t>
      </w:r>
    </w:p>
    <w:p>
      <w:pPr>
        <w:spacing w:after="0" w:line="59" w:lineRule="exact"/>
        <w:rPr>
          <w:rFonts w:ascii="Arial" w:cs="Arial" w:eastAsia="Arial" w:hAnsi="Arial"/>
          <w:sz w:val="18"/>
          <w:szCs w:val="18"/>
          <w:color w:val="auto"/>
        </w:rPr>
      </w:pPr>
    </w:p>
    <w:p>
      <w:pPr>
        <w:ind w:right="300" w:firstLine="443"/>
        <w:spacing w:after="0" w:line="306" w:lineRule="auto"/>
        <w:tabs>
          <w:tab w:leader="none" w:pos="8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causing the Company to retain qualified accountants and legal counsel, as applicable, to (i) assist in developing appropriate accounting procedures, compliance procedures and testing systems with respect to financial reporting obligations and compliance with the provisions of the Code applicable to REITs and, if applicable, taxable REIT subsidiaries and (ii) conduct quarterly compliance reviews with respect thereto;</w:t>
      </w:r>
    </w:p>
    <w:p>
      <w:pPr>
        <w:spacing w:after="0" w:line="25" w:lineRule="exact"/>
        <w:rPr>
          <w:rFonts w:ascii="Arial" w:cs="Arial" w:eastAsia="Arial" w:hAnsi="Arial"/>
          <w:sz w:val="16"/>
          <w:szCs w:val="16"/>
          <w:color w:val="auto"/>
        </w:rPr>
      </w:pPr>
    </w:p>
    <w:p>
      <w:pPr>
        <w:ind w:right="600" w:firstLine="443"/>
        <w:spacing w:after="0" w:line="268"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causing the Company to qualify to do business in all jurisdictions in which such qualification is required and to obtain and maintain all appropriate licenses;</w:t>
      </w:r>
    </w:p>
    <w:p>
      <w:pPr>
        <w:spacing w:after="0" w:line="50" w:lineRule="exact"/>
        <w:rPr>
          <w:rFonts w:ascii="Arial" w:cs="Arial" w:eastAsia="Arial" w:hAnsi="Arial"/>
          <w:sz w:val="18"/>
          <w:szCs w:val="18"/>
          <w:color w:val="auto"/>
        </w:rPr>
      </w:pPr>
    </w:p>
    <w:p>
      <w:pPr>
        <w:ind w:right="20" w:firstLine="443"/>
        <w:spacing w:after="0" w:line="259" w:lineRule="auto"/>
        <w:tabs>
          <w:tab w:leader="none" w:pos="8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assisting the Company in complying with all regulatory requirements applicable to the Company in respect of its business activities, including preparing or causing to be prepared all financial statements required under applicable regulations and contractual undertakings and all reports and documents, if any, required under the Exchange Act or the Securities Act;</w:t>
      </w:r>
    </w:p>
    <w:p>
      <w:pPr>
        <w:spacing w:after="0" w:line="59" w:lineRule="exact"/>
        <w:rPr>
          <w:rFonts w:ascii="Arial" w:cs="Arial" w:eastAsia="Arial" w:hAnsi="Arial"/>
          <w:sz w:val="18"/>
          <w:szCs w:val="18"/>
          <w:color w:val="auto"/>
        </w:rPr>
      </w:pPr>
    </w:p>
    <w:p>
      <w:pPr>
        <w:ind w:right="620" w:firstLine="443"/>
        <w:spacing w:after="0" w:line="332" w:lineRule="auto"/>
        <w:tabs>
          <w:tab w:leader="none" w:pos="8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taking all necessary actions to enable the Company and any Subsidiaries to make required tax filings and reports, including soliciting stockholders for required information to the extent necessary under the Code and U.S. Treasury regulations applicable to REITs;</w:t>
      </w:r>
    </w:p>
    <w:p>
      <w:pPr>
        <w:spacing w:after="0" w:line="4" w:lineRule="exact"/>
        <w:rPr>
          <w:rFonts w:ascii="Arial" w:cs="Arial" w:eastAsia="Arial" w:hAnsi="Arial"/>
          <w:sz w:val="16"/>
          <w:szCs w:val="16"/>
          <w:color w:val="auto"/>
        </w:rPr>
      </w:pPr>
    </w:p>
    <w:p>
      <w:pPr>
        <w:ind w:right="440" w:firstLine="443"/>
        <w:spacing w:after="0" w:line="332" w:lineRule="auto"/>
        <w:tabs>
          <w:tab w:leader="none" w:pos="9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handling and resolving all claims, disputes or controversies (including all litigation, arbitration, settlement or other proceedings or negotiations) in which the Company may be involved or to which the Company may be subject arising out of the Company’s day-to-day operations;</w:t>
      </w:r>
    </w:p>
    <w:p>
      <w:pPr>
        <w:spacing w:after="0" w:line="4" w:lineRule="exact"/>
        <w:rPr>
          <w:rFonts w:ascii="Arial" w:cs="Arial" w:eastAsia="Arial" w:hAnsi="Arial"/>
          <w:sz w:val="16"/>
          <w:szCs w:val="16"/>
          <w:color w:val="auto"/>
        </w:rPr>
      </w:pPr>
    </w:p>
    <w:p>
      <w:pPr>
        <w:ind w:right="880" w:firstLine="443"/>
        <w:spacing w:after="0" w:line="268" w:lineRule="auto"/>
        <w:tabs>
          <w:tab w:leader="none" w:pos="9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arranging marketing materials, advertising, industry group activities (such as conference participations and industry organization memberships) and other promotional efforts designed to promote the business of the Company;</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700" w:top="280" w:right="359" w:bottom="1440" w:gutter="0" w:footer="0" w:header="0"/>
        </w:sectPr>
      </w:pPr>
    </w:p>
    <w:bookmarkStart w:id="43" w:name="page44"/>
    <w:bookmarkEnd w:id="43"/>
    <w:p>
      <w:pPr>
        <w:ind w:left="440" w:right="800" w:firstLine="443"/>
        <w:spacing w:after="0" w:line="332" w:lineRule="auto"/>
        <w:tabs>
          <w:tab w:leader="none" w:pos="1302"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using commercially reasonable efforts to cause expenses incurred by or on behalf of the Company to be commercially reasonable or commercially customary and within any budgeted parameters or expense guidelines set by the Board of Directors from time to time;</w:t>
      </w:r>
    </w:p>
    <w:p>
      <w:pPr>
        <w:spacing w:after="0" w:line="4" w:lineRule="exact"/>
        <w:rPr>
          <w:rFonts w:ascii="Arial" w:cs="Arial" w:eastAsia="Arial" w:hAnsi="Arial"/>
          <w:sz w:val="16"/>
          <w:szCs w:val="16"/>
          <w:color w:val="auto"/>
        </w:rPr>
      </w:pPr>
    </w:p>
    <w:p>
      <w:pPr>
        <w:ind w:left="440" w:right="460" w:firstLine="443"/>
        <w:spacing w:after="0" w:line="332" w:lineRule="auto"/>
        <w:tabs>
          <w:tab w:leader="none" w:pos="1351"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performing such other services as may be required from time to time for the management and other activities relating to the assets of the Company as the Board of Directors shall reasonably request or the Manager shall deem appropriate under the particular circumstances; and</w:t>
      </w:r>
    </w:p>
    <w:p>
      <w:pPr>
        <w:spacing w:after="0" w:line="4" w:lineRule="exact"/>
        <w:rPr>
          <w:rFonts w:ascii="Arial" w:cs="Arial" w:eastAsia="Arial" w:hAnsi="Arial"/>
          <w:sz w:val="16"/>
          <w:szCs w:val="16"/>
          <w:color w:val="auto"/>
        </w:rPr>
      </w:pPr>
    </w:p>
    <w:p>
      <w:pPr>
        <w:ind w:left="1400" w:hanging="517"/>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using commercially reasonable efforts to cause the Company to comply with all applicable laws.</w:t>
      </w:r>
    </w:p>
    <w:p>
      <w:pPr>
        <w:spacing w:after="0" w:line="171" w:lineRule="exact"/>
        <w:rPr>
          <w:rFonts w:ascii="Arial" w:cs="Arial" w:eastAsia="Arial" w:hAnsi="Arial"/>
          <w:sz w:val="18"/>
          <w:szCs w:val="18"/>
          <w:color w:val="auto"/>
        </w:rPr>
      </w:pPr>
    </w:p>
    <w:p>
      <w:pPr>
        <w:ind w:left="-20" w:firstLine="1492"/>
        <w:spacing w:after="0" w:line="298" w:lineRule="auto"/>
        <w:tabs>
          <w:tab w:leader="none" w:pos="17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Manager may retain, for and on behalf, and at the sole cost and expense, of the Company, such services of the persons and firms referred to in Section 7(b) hereof as the Manager deems necessary or advisable in connection with the management and operations of the Company. In performing its duties under this Section 2, the Manager shall be entitled to rely reasonably on qualified experts and professionals (including, without limitation, accountants, legal counsel and other professional service providers) hired by the Manager at the Company’s sole cost and expense.</w:t>
      </w:r>
    </w:p>
    <w:p>
      <w:pPr>
        <w:spacing w:after="0" w:line="112" w:lineRule="exact"/>
        <w:rPr>
          <w:rFonts w:ascii="Arial" w:cs="Arial" w:eastAsia="Arial" w:hAnsi="Arial"/>
          <w:sz w:val="16"/>
          <w:szCs w:val="16"/>
          <w:color w:val="auto"/>
        </w:rPr>
      </w:pPr>
    </w:p>
    <w:p>
      <w:pPr>
        <w:ind w:left="-20" w:firstLine="1492"/>
        <w:spacing w:after="0" w:line="289" w:lineRule="auto"/>
        <w:tabs>
          <w:tab w:leader="none" w:pos="171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Manager shall refrain from any action that, in its sole judgment made in good faith, (i) is not in compliance with the Investment Guidelines, (ii) would adversely affect the qualification of the Company as a REIT under the Code or the Company’s status as an entity excluded from investment company status under the Investment Company Act, or (iii) would violate any law, rule or regulation of any governmental body or agency having jurisdiction over the Company or of any exchange on which the securities of the Company may be listed or that would otherwise not be permitted by the Company’s Governing Instruments. If the Manager is ordered to take any action by the Board of Directors, the Manager shall promptly notify the Board of Directors if it is the Manager’s judgment that such action would adversely affect such status or violate any such law, rule or regulation or the Governing Instruments. Notwithstanding the foregoing, neither the Manager nor any of its Affiliates (including American Capital) shall be liable to the Company, the Board of Directors, or the Company’s stockholders for any act or omission by the Manager or any of its Affiliates, except as provided in Section 8 of this Agreement.</w:t>
      </w:r>
    </w:p>
    <w:p>
      <w:pPr>
        <w:spacing w:after="0" w:line="118" w:lineRule="exact"/>
        <w:rPr>
          <w:rFonts w:ascii="Arial" w:cs="Arial" w:eastAsia="Arial" w:hAnsi="Arial"/>
          <w:sz w:val="16"/>
          <w:szCs w:val="16"/>
          <w:color w:val="auto"/>
        </w:rPr>
      </w:pPr>
    </w:p>
    <w:p>
      <w:pPr>
        <w:ind w:left="-20" w:right="40" w:firstLine="1492"/>
        <w:spacing w:after="0" w:line="255" w:lineRule="auto"/>
        <w:tabs>
          <w:tab w:leader="none" w:pos="17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(including the Board of Directors) agrees to take all actions reasonably required to permit and enable the Manager to carry out its duties and obligations under this Agreement, including, without limitation, all steps reasonably necessary to allow the Manager to file any registration statement or other filing required to be made under the Securities Act, Exchange Act, Nasdaq, Code or other applicable law, rule or regulation on behalf of the Company in a timely manner. The Company further agrees to use commercially reasonable efforts to make available to the Manager all resources, information and materials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44" w:name="page45"/>
    <w:bookmarkEnd w:id="44"/>
    <w:p>
      <w:pPr>
        <w:jc w:val="both"/>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requested by the Manager to enable the Manager to satisfy its obligations hereunder, including its obligations to deliver financial statements and any other information or reports with respect to the Company. If the Manager is not able to provide a service, or in the reasonable judgment of the Manager it is not prudent to provide a service, without the approval of the Board of Directors, as applicable, then the Manager shall be excused from providing such service (and shall not be in breach of this Agreement) until the applicable approval has been obtained.</w:t>
      </w:r>
    </w:p>
    <w:p>
      <w:pPr>
        <w:spacing w:after="0" w:line="113" w:lineRule="exact"/>
        <w:rPr>
          <w:sz w:val="20"/>
          <w:szCs w:val="20"/>
          <w:color w:val="auto"/>
        </w:rPr>
      </w:pPr>
    </w:p>
    <w:p>
      <w:pPr>
        <w:jc w:val="both"/>
        <w:ind w:right="140" w:firstLine="1492"/>
        <w:spacing w:after="0" w:line="259" w:lineRule="auto"/>
        <w:tabs>
          <w:tab w:leader="none" w:pos="1703"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(i) As frequently as the Manager may deem reasonably necessary or advisable, or at the direction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the Manager shall prepare, or, at the sole cost and expense of the Company, cause to be prepared, with respect to any investment, reports and other information with respect to such investment as may be reasonably requested by the Company.</w:t>
      </w:r>
    </w:p>
    <w:p>
      <w:pPr>
        <w:spacing w:after="0" w:line="59" w:lineRule="exact"/>
        <w:rPr>
          <w:rFonts w:ascii="Arial" w:cs="Arial" w:eastAsia="Arial" w:hAnsi="Arial"/>
          <w:sz w:val="18"/>
          <w:szCs w:val="18"/>
          <w:color w:val="auto"/>
        </w:rPr>
      </w:pPr>
    </w:p>
    <w:p>
      <w:pPr>
        <w:ind w:left="460" w:firstLine="443"/>
        <w:spacing w:after="0" w:line="294" w:lineRule="auto"/>
        <w:tabs>
          <w:tab w:leader="none" w:pos="11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Manager shall prepare, or, at the sole cost and expense of the Company, cause to be prepared, all reports, financial or otherwise, with respect to the Company reasonably required by the Board of Directors in order for the Company to comply with its Governing Instruments, or any other materials required to be filed with any governmental body or agency, and shall prepare, or, at the sole cost and expense of the Company, cause to be prepared, all materials and data necessary to complete such reports and other materials including, without limitation, an annual audit of the Company’s books of account by a nationally recognized independent accounting firm.</w:t>
      </w:r>
    </w:p>
    <w:p>
      <w:pPr>
        <w:spacing w:after="0" w:line="34" w:lineRule="exact"/>
        <w:rPr>
          <w:rFonts w:ascii="Arial" w:cs="Arial" w:eastAsia="Arial" w:hAnsi="Arial"/>
          <w:sz w:val="16"/>
          <w:szCs w:val="16"/>
          <w:color w:val="auto"/>
        </w:rPr>
      </w:pPr>
    </w:p>
    <w:p>
      <w:pPr>
        <w:ind w:left="460" w:right="60" w:firstLine="443"/>
        <w:spacing w:after="0" w:line="259" w:lineRule="auto"/>
        <w:tabs>
          <w:tab w:leader="none" w:pos="12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Manager shall prepare, or, at the sole cost and expense to the Company, cause to be prepared, regular reports for the Board of Directors to enable the Board of Directors to review the Company’s acquisitions, portfolio composition and characteristics, credit quality, performance and compliance with the Investment Guidelines and policies approved by the Board of Directors.</w:t>
      </w:r>
    </w:p>
    <w:p>
      <w:pPr>
        <w:spacing w:after="0" w:line="140" w:lineRule="exact"/>
        <w:rPr>
          <w:rFonts w:ascii="Arial" w:cs="Arial" w:eastAsia="Arial" w:hAnsi="Arial"/>
          <w:sz w:val="18"/>
          <w:szCs w:val="18"/>
          <w:color w:val="auto"/>
        </w:rPr>
      </w:pPr>
    </w:p>
    <w:p>
      <w:pPr>
        <w:ind w:right="20" w:firstLine="1492"/>
        <w:spacing w:after="0" w:line="289" w:lineRule="auto"/>
        <w:tabs>
          <w:tab w:leader="none" w:pos="1732"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Directors, officers, employees and agents of the Manager, American Capital or their respective Affiliates may serve as directors, officers, agents, nominees or signatories for the Company or any of its Subsidiaries, to the extent permitted by their Governing Instruments and pursuant to the Administrative Services Agreement, as from time to time amended, by any resolutions duly adopted by the Board of Directors. When executing documents or otherwise acting in such capacities for the Company or any of its Subsidiaries, such Persons shall indicate in what capacity they are executing on behalf of the Company or any of its Subsidiaries. Without limiting the foregoing, but subject to Section 12 below, the Manager will provide the Company with a management team, including a Chief Executive Officer, Chief Financial Officer and Chief Investment Officer or similar positions, along with appropriate support personnel to provide the management services to be provided by the Manager to the Company hereunder, who shall devote such of their time to the management of the Company as necessary and appropriate, commensurate with the level of activity of the Company from time to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45" w:name="page46"/>
    <w:bookmarkEnd w:id="45"/>
    <w:p>
      <w:pPr>
        <w:ind w:left="1740" w:hanging="24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Manager shall provide personnel for service on the Investment Committee.</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Manager shall maintain reasonable and customary “errors and omissions” insurance coverage and other customary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coverage.</w:t>
      </w:r>
    </w:p>
    <w:p>
      <w:pPr>
        <w:spacing w:after="0" w:line="165" w:lineRule="exact"/>
        <w:rPr>
          <w:sz w:val="20"/>
          <w:szCs w:val="20"/>
          <w:color w:val="auto"/>
        </w:rPr>
      </w:pPr>
    </w:p>
    <w:p>
      <w:pPr>
        <w:ind w:right="420" w:firstLine="1492"/>
        <w:spacing w:after="0" w:line="259" w:lineRule="auto"/>
        <w:tabs>
          <w:tab w:leader="none" w:pos="16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Manager shall provide such internal audit, compliance and control services as may be required for the Company to comply with applicable law (including the Securities Act and Exchange Act), regulation (including SEC regulations) and the rules and requirements of Nasdaq and as otherwise reasonably requested by the Company or its Board of Directors from time to time.</w:t>
      </w:r>
    </w:p>
    <w:p>
      <w:pPr>
        <w:spacing w:after="0" w:line="140" w:lineRule="exact"/>
        <w:rPr>
          <w:rFonts w:ascii="Arial" w:cs="Arial" w:eastAsia="Arial" w:hAnsi="Arial"/>
          <w:sz w:val="18"/>
          <w:szCs w:val="18"/>
          <w:color w:val="auto"/>
        </w:rPr>
      </w:pPr>
    </w:p>
    <w:p>
      <w:pPr>
        <w:ind w:right="280" w:firstLine="1492"/>
        <w:spacing w:after="0" w:line="256" w:lineRule="auto"/>
        <w:tabs>
          <w:tab w:leader="none" w:pos="17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Manager acknowledges receipt of the Company’s Code of Business Conduct and Ethics and Policy on Insider Trading and Communications Policy (collectively, the “</w:t>
      </w:r>
      <w:r>
        <w:rPr>
          <w:rFonts w:ascii="Arial" w:cs="Arial" w:eastAsia="Arial" w:hAnsi="Arial"/>
          <w:sz w:val="18"/>
          <w:szCs w:val="18"/>
          <w:i w:val="1"/>
          <w:iCs w:val="1"/>
          <w:color w:val="auto"/>
        </w:rPr>
        <w:t>Conduct Policies</w:t>
      </w:r>
      <w:r>
        <w:rPr>
          <w:rFonts w:ascii="Arial" w:cs="Arial" w:eastAsia="Arial" w:hAnsi="Arial"/>
          <w:sz w:val="18"/>
          <w:szCs w:val="18"/>
          <w:color w:val="auto"/>
        </w:rPr>
        <w:t>”) and agrees to require the persons who provide services to the Company to comply with such Conduct Policies in the performance of such services hereunder or such comparable policies as shall in substance hold such persons to at least the standards of conduct set forth in the Conduct Policies.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Additional Activities of the Manager; Non-Solicitation; Restrictions</w:t>
      </w:r>
      <w:r>
        <w:rPr>
          <w:rFonts w:ascii="Arial" w:cs="Arial" w:eastAsia="Arial" w:hAnsi="Arial"/>
          <w:sz w:val="18"/>
          <w:szCs w:val="18"/>
          <w:color w:val="auto"/>
        </w:rPr>
        <w:t>.</w:t>
      </w:r>
    </w:p>
    <w:p>
      <w:pPr>
        <w:spacing w:after="0" w:line="96" w:lineRule="exact"/>
        <w:rPr>
          <w:sz w:val="20"/>
          <w:szCs w:val="20"/>
          <w:color w:val="auto"/>
        </w:rPr>
      </w:pPr>
    </w:p>
    <w:p>
      <w:pPr>
        <w:ind w:firstLine="1492"/>
        <w:spacing w:after="0" w:line="286" w:lineRule="auto"/>
        <w:tabs>
          <w:tab w:leader="none" w:pos="1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provided, the last sentence of this Section 3(a) and/or the Investment Guidelines, nothing in this Agreement shall (i) prevent the Manager or any of its Affiliates, officers, directors or employees, from engaging in other businesses or from rendering services of any kind to any other Person or entity, whether or not the investment objectives or policies of any such other Person or entity are similar to those of the Company or (ii) in any way bind or restrict the Manager or any of its Affiliates, officers, directors or employees from buying, selling or trading any securities or commodities for their own accounts or for the account of others for whom the Manager or any of its Affiliates, officers, directors or employees may be acting. While information and recommendations supplied to the Company shall, in the Manager’s reasonable and good faith judgment, be appropriate under the circumstances and in light of the investment objectives and policies of the Company, they may be different from the information and recommendations supplied by the Manager or any Affiliate of the Manager to others. The Company shall be entitled to equitable treatment under the circumstances in receiving information, recommendations and any other services, but the Company recognizes that it is not entitled to receive preferential treatment as compared with the treatment given by the Manager or any Affiliate of the Manager to others. The Company shall have the benefit of the Manager’s best judgment and effort in rendering services hereunder and, in furtherance of the foregoing, the Manager shall not undertake activities that, in its good faith judgment, will adversely affect the performance of its obligations under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6" w:name="page47"/>
    <w:bookmarkEnd w:id="46"/>
    <w:p>
      <w:pPr>
        <w:ind w:firstLine="1492"/>
        <w:spacing w:after="0" w:line="254" w:lineRule="auto"/>
        <w:tabs>
          <w:tab w:leader="none" w:pos="1732"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 Termination Without Cause of this Agreement by the Company pursuant to Section 10(c) hereof, the Company shall not, without the consent of the Manager, employ or otherwise retain any employee of the Manager or any of its Affiliates (including American Capital) or any person who has been in the employ of the Manager or any of its Affiliates at any time within the two (2) year period immediately preceding the date on which such person commences employment with or is otherwise retained by the Company for two (2) years after such termination of this Agreement. The Company acknowledges and agrees that, in addition to any damages the Manager shall be entitled to equitable relief for any violation of this agreement by the Company, including, without limitation, injunctive relief.</w:t>
      </w:r>
    </w:p>
    <w:p>
      <w:pPr>
        <w:spacing w:after="0" w:line="13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Section 4. Bank Accounts</w:t>
      </w:r>
      <w:r>
        <w:rPr>
          <w:rFonts w:ascii="Arial" w:cs="Arial" w:eastAsia="Arial" w:hAnsi="Arial"/>
          <w:sz w:val="16"/>
          <w:szCs w:val="16"/>
          <w:color w:val="auto"/>
        </w:rPr>
        <w:t>. At the direction of the Board of Directors, the Manager may establish and maintain one or more bank accounts in the name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Subsidiary, and may collect and deposit into any such account or accounts, and disburse funds from any such account or accounts, under such terms and conditions as the Board of Directors may approve; and the Manager shall from time to time render appropriate accountings of such collections and payments to the Board of Directors and, upon request, to the auditors of the Company or any Subsidiary.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Records; Confidentiality</w:t>
      </w:r>
      <w:r>
        <w:rPr>
          <w:rFonts w:ascii="Arial" w:cs="Arial" w:eastAsia="Arial" w:hAnsi="Arial"/>
          <w:sz w:val="18"/>
          <w:szCs w:val="18"/>
          <w:color w:val="auto"/>
        </w:rPr>
        <w:t>.</w:t>
      </w:r>
    </w:p>
    <w:p>
      <w:pPr>
        <w:spacing w:after="0" w:line="96" w:lineRule="exact"/>
        <w:rPr>
          <w:sz w:val="20"/>
          <w:szCs w:val="20"/>
          <w:color w:val="auto"/>
        </w:rPr>
      </w:pPr>
    </w:p>
    <w:p>
      <w:pPr>
        <w:ind w:firstLine="1492"/>
        <w:spacing w:after="0" w:line="285" w:lineRule="auto"/>
        <w:tabs>
          <w:tab w:leader="none" w:pos="17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Manager shall maintain appropriate books of accounts and records relating to services performed hereunder, and such books of account and records shall be accessible for inspection by representatives of the Company or any Subsidiary at any time during normal business hours. The Manager shall keep confidential any and all non-public information, written or oral, obtained by it in connection with the services rendered hereunder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and shall not use Confidential Information except in furtherance of its duties under this Agreement or disclose Confidential Information, in whole or in part, to any Person other than (i) to its Affiliates, officers, directors, employees, agents, representatives or advisors who need to know such Confidential Information for the purpose of rendering services hereunder, (ii) to appraisers, financing sources and others in the ordinary course of the Company’s business ((i) and (ii) collectively, “</w:t>
      </w:r>
      <w:r>
        <w:rPr>
          <w:rFonts w:ascii="Arial" w:cs="Arial" w:eastAsia="Arial" w:hAnsi="Arial"/>
          <w:sz w:val="16"/>
          <w:szCs w:val="16"/>
          <w:i w:val="1"/>
          <w:iCs w:val="1"/>
          <w:color w:val="auto"/>
        </w:rPr>
        <w:t>Manager Permitted Disclosure Parties</w:t>
      </w:r>
      <w:r>
        <w:rPr>
          <w:rFonts w:ascii="Arial" w:cs="Arial" w:eastAsia="Arial" w:hAnsi="Arial"/>
          <w:sz w:val="16"/>
          <w:szCs w:val="16"/>
          <w:color w:val="auto"/>
        </w:rPr>
        <w:t xml:space="preserve">”), (iii) in connection with any governmental or regulatory filings of the Company or disclosure or presentations to Company investors, (iv) to governmental officials having jurisdiction over the Company, (v) as requested by law or legal process to which the Manager or any Person to whom disclosure is permitted hereunder is a party, or (vi) with the consent of the Company. The Manager agrees to inform each of its Manager Permitted Disclosure Parties of the non-public nature of the Confidential Information and to direct such Persons to treat such Confidential Information in accordance with the terms hereof. Nothing herein shall prevent the Manager from disclosing Confidential Information (i) upon the order of any court or administrative agency, (ii) upon the request or demand of, or pursuant to any law or regulation, any regulatory agency or authority, (iii) to the extent reasonably required in connection with the exercise of any remedy hereunder, or (iv) to its legal counsel or independent auditors;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clauses (i) and (ii), it is agreed that, so long as not legally prohibited, the Manager will provide the Company with prompt written notice of such order, request or demand so that the Company may seek, at its sole expense, an appropriate protective order and/or waive the Manager’s compliance with the provisions of this Agreement. If, failing the entry of a protective order or the receipt of a waiver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7" w:name="page48"/>
    <w:bookmarkEnd w:id="4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the Manager is required to disclose Confidential Information, the Manager may disclose only that portion of such information that is legally required without liability hereunder; provided, that the Manager agrees to exercise its reasonable best efforts to obtain reliable assurance that confidential treatment will be accorded such information. Notwithstanding anything herein to the contrary, each of the following shall be deemed to be excluded from provisions hereof: any Confidential Information that (A) is available to the public from a source other than the Manager, (B) is released in writing by the Company to the public or to persons who are not under similar obligation of confidentiality to the Company, or (C) is obtained by the Manager from a third-party which, to the best of the Manager’s knowledge, does not constitute a breach by such third-party of an obligation of confidence with respect to the Confidential Information disclosed. The provisions of this Agreement shall survive the expiration or earlier termination of this Agreement for a period of one year.</w:t>
      </w:r>
    </w:p>
    <w:p>
      <w:pPr>
        <w:spacing w:after="0" w:line="118" w:lineRule="exact"/>
        <w:rPr>
          <w:sz w:val="20"/>
          <w:szCs w:val="20"/>
          <w:color w:val="auto"/>
        </w:rPr>
      </w:pPr>
    </w:p>
    <w:p>
      <w:pPr>
        <w:ind w:right="160" w:firstLine="1492"/>
        <w:spacing w:after="0" w:line="283" w:lineRule="auto"/>
        <w:tabs>
          <w:tab w:leader="none" w:pos="17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shall keep confidential any and all Confidential Information and shall not use Confidential Information except in furtherance of the terms of this Agreement or disclose Confidential Information, in whole or in part, to any Person other than (i) to its Affiliates, officers or directors who need to know such Confidential Information for the purpose of fulfilling the Company’s obligations hereunder (collectively, “</w:t>
      </w:r>
      <w:r>
        <w:rPr>
          <w:rFonts w:ascii="Arial" w:cs="Arial" w:eastAsia="Arial" w:hAnsi="Arial"/>
          <w:sz w:val="16"/>
          <w:szCs w:val="16"/>
          <w:i w:val="1"/>
          <w:iCs w:val="1"/>
          <w:color w:val="auto"/>
        </w:rPr>
        <w:t>Company Permitted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Parties</w:t>
      </w:r>
      <w:r>
        <w:rPr>
          <w:rFonts w:ascii="Arial" w:cs="Arial" w:eastAsia="Arial" w:hAnsi="Arial"/>
          <w:sz w:val="16"/>
          <w:szCs w:val="16"/>
          <w:color w:val="auto"/>
        </w:rPr>
        <w:t>”), (ii) as requested by law or legal process to which the Company or any Person to whom disclosure is permitted hereunder is a party, or</w:t>
      </w:r>
    </w:p>
    <w:p>
      <w:pPr>
        <w:spacing w:after="0" w:line="2" w:lineRule="exact"/>
        <w:rPr>
          <w:rFonts w:ascii="Arial" w:cs="Arial" w:eastAsia="Arial" w:hAnsi="Arial"/>
          <w:sz w:val="16"/>
          <w:szCs w:val="16"/>
          <w:color w:val="auto"/>
        </w:rPr>
      </w:pPr>
    </w:p>
    <w:p>
      <w:pPr>
        <w:ind w:firstLine="8"/>
        <w:spacing w:after="0" w:line="284" w:lineRule="auto"/>
        <w:tabs>
          <w:tab w:leader="none" w:pos="3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with the consent of the Manager. The Company agrees to (i) inform each of its Company Permitted Disclosure Parties of the non-public nature of the Confidential Information and to direct such Persons to treat such Confidential Information in accordance with the terms hereof and (ii) not disclose any Confidential Information to its Company Permitted Disclosure Parties upon the expiration or nonrenewal of this Agreement in accordance with Section 10. Nothing herein shall prevent the Company from disclosing Confidential Information (i) upon the order of any court or administrative agency, (ii) upon the request or demand of, or pursuant to any law or regulation, any regulatory agency or authority, (iii) to the extent reasonably required in connection with the exercise of any remedy hereunder, or (iv) to its legal counsel or independent auditors;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clauses (i) and (ii), it is agreed that, so long as not legally prohibited, the Company will provide the Manager with prompt written notice of such order, request or demand so that the Manager may seek, at its sole expense, an appropriate protective order and/or waive the Company’s compliance with the provisions of this Agreement. If, failing the entry of a protective order or the receipt of a waiver hereunder, the Company is required to disclose Confidential Information, the Company may disclose only that portion of such information that is legally required without liability hereunder; provided, that the Company agrees to exercise its reasonable best efforts to obtain reliable assurance that confidential treatment will be accorded such information. Notwithstanding anything herein to the contrary, each of the following shall be deemed to be excluded from provisions hereof: any Confidential Information that (A) is available to the public from a source other than the Company, (B) is released in writing by the Manager to the public or to persons who are not under similar obligation of confidentiality to the Manager, or (C) is obtained by the Company from a third-party which, to the best of the Company’s knowledge, does not constitute breach by such third-party of an obligation of confidence with respect to the Confidential Information disclosed. For the avoidance of doubt, information about the systems, employees, policies, procedures and investment portfolio (other than investments in which the Company and Manager have co-invested) shall be deemed to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included within the meaning of “Confidential Information” for purposes of the Company’s obligations pursuant to this Section 5(b).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 Compensation</w:t>
      </w:r>
      <w:r>
        <w:rPr>
          <w:rFonts w:ascii="Arial" w:cs="Arial" w:eastAsia="Arial" w:hAnsi="Arial"/>
          <w:sz w:val="18"/>
          <w:szCs w:val="18"/>
          <w:color w:val="auto"/>
        </w:rPr>
        <w:t>.</w:t>
      </w:r>
    </w:p>
    <w:p>
      <w:pPr>
        <w:spacing w:after="0" w:line="96" w:lineRule="exact"/>
        <w:rPr>
          <w:sz w:val="20"/>
          <w:szCs w:val="20"/>
          <w:color w:val="auto"/>
        </w:rPr>
      </w:pPr>
    </w:p>
    <w:p>
      <w:pPr>
        <w:ind w:right="420" w:firstLine="1492"/>
        <w:spacing w:after="0" w:line="332" w:lineRule="auto"/>
        <w:tabs>
          <w:tab w:leader="none" w:pos="17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the services rendered under this Agreement, the Company shall pay the Management Fee to the Manager. The Manager will not receive any compensation for the period prior to the Closing Date other than expenses incurred and reimbursed pursuant to Section 7 hereof.</w:t>
      </w:r>
    </w:p>
    <w:p>
      <w:pPr>
        <w:spacing w:after="0" w:line="85" w:lineRule="exact"/>
        <w:rPr>
          <w:rFonts w:ascii="Arial" w:cs="Arial" w:eastAsia="Arial" w:hAnsi="Arial"/>
          <w:sz w:val="16"/>
          <w:szCs w:val="16"/>
          <w:color w:val="auto"/>
        </w:rPr>
      </w:pPr>
    </w:p>
    <w:p>
      <w:pPr>
        <w:ind w:right="280" w:firstLine="1492"/>
        <w:spacing w:after="0" w:line="306" w:lineRule="auto"/>
        <w:tabs>
          <w:tab w:leader="none" w:pos="17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parties acknowledge that the Management Fee is intended to compensate the Manager for the costs and expenses it will incur pursuant to the Administrative Services Agreement, as well as certain expenses not otherwise reimbursable under Section 7 below, in order for the Manager to provide the Company the investment advisory services and certain general management services rendered under this Agreement.</w:t>
      </w:r>
    </w:p>
    <w:p>
      <w:pPr>
        <w:spacing w:after="0" w:line="106" w:lineRule="exact"/>
        <w:rPr>
          <w:rFonts w:ascii="Arial" w:cs="Arial" w:eastAsia="Arial" w:hAnsi="Arial"/>
          <w:sz w:val="16"/>
          <w:szCs w:val="16"/>
          <w:color w:val="auto"/>
        </w:rPr>
      </w:pPr>
    </w:p>
    <w:p>
      <w:pPr>
        <w:ind w:firstLine="1492"/>
        <w:spacing w:after="0" w:line="294" w:lineRule="auto"/>
        <w:tabs>
          <w:tab w:leader="none" w:pos="17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Management Fee shall be payable in arrears in cash, in monthly installments commencing with the month in which this Agreement is executed. If applicable, the initial and final installments of the Management Fee shall be pro-rated based on the number of days during the initial and final month, respectively, that this Agreement is in effect. The Manager shall calculate each monthly installment of the Management Fee, and deliver such calculation to the Company, within fifteen (15) days following the last day of each calendar month. The Company shall pay the Manager each installment of the Management Fee within five (5) Business Days after the date of delivery to the Company of such computations.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 Expenses of the Company</w:t>
      </w:r>
      <w:r>
        <w:rPr>
          <w:rFonts w:ascii="Arial" w:cs="Arial" w:eastAsia="Arial" w:hAnsi="Arial"/>
          <w:sz w:val="18"/>
          <w:szCs w:val="18"/>
          <w:color w:val="auto"/>
        </w:rPr>
        <w:t>.</w:t>
      </w:r>
    </w:p>
    <w:p>
      <w:pPr>
        <w:spacing w:after="0" w:line="96" w:lineRule="exact"/>
        <w:rPr>
          <w:sz w:val="20"/>
          <w:szCs w:val="20"/>
          <w:color w:val="auto"/>
        </w:rPr>
      </w:pPr>
    </w:p>
    <w:p>
      <w:pPr>
        <w:ind w:right="20" w:firstLine="1492"/>
        <w:spacing w:after="0" w:line="255" w:lineRule="auto"/>
        <w:tabs>
          <w:tab w:leader="none" w:pos="17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Manager shall be responsible for the expenses related to any and all personnel of the Manager and its Affiliates who provide services to the Company pursuant to this Agreement or to the Manager pursuant to the Administrative Services Agreement (including each of the officers of the Company and any directors of the Company who are also directors, officers, employees or agents of the Manager, American Capital or any of their Affiliates), including, without limitation, salaries, bonus and other wages, payroll taxes and the cost of employee benefit plans of such personnel, and costs of insurance with respect to such personnel.</w:t>
      </w:r>
    </w:p>
    <w:p>
      <w:pPr>
        <w:spacing w:after="0" w:line="142" w:lineRule="exact"/>
        <w:rPr>
          <w:rFonts w:ascii="Arial" w:cs="Arial" w:eastAsia="Arial" w:hAnsi="Arial"/>
          <w:sz w:val="18"/>
          <w:szCs w:val="18"/>
          <w:color w:val="auto"/>
        </w:rPr>
      </w:pPr>
    </w:p>
    <w:p>
      <w:pPr>
        <w:jc w:val="both"/>
        <w:ind w:right="20" w:firstLine="1492"/>
        <w:spacing w:after="0" w:line="298" w:lineRule="auto"/>
        <w:tabs>
          <w:tab w:leader="none" w:pos="17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pay all of its costs and expenses and shall reimburse the Manager or its Affiliates for expenses of the Manager and its Affiliates incurred on behalf of the Company, excepting only those expenses that are specifically the responsibility of the Manager pursuant to Section 7(a) of this Agreement. Without limiting the generality of the foregoing, it is specifically agreed that the following costs and expenses of the Company or any Subsidiary shall be paid by the Company and shall not be paid by the Manager or Affiliates of the Manager: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9" w:name="page50"/>
    <w:bookmarkEnd w:id="49"/>
    <w:p>
      <w:pPr>
        <w:ind w:right="100" w:firstLine="443"/>
        <w:spacing w:after="0" w:line="255"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costs and expenses associated with the formation and capital raising activities of the Company and its Subsidiaries, if any, including, without limitation, the costs and expenses of (A) the preparation of the Company’s registration statements, (B) the initial public offering of the Company, (C) the original incorporation and initial organization of the Company, and (D) any subsequent offerings and any filing fees and costs of being a public company, including, without limitation, filings with the SEC, the Financial Industry Regulatory Authority, Inc. and Nasdaq (and any other exchange or over-the-counter market), among other such entities;</w:t>
      </w:r>
    </w:p>
    <w:p>
      <w:pPr>
        <w:spacing w:after="0" w:line="61" w:lineRule="exact"/>
        <w:rPr>
          <w:rFonts w:ascii="Arial" w:cs="Arial" w:eastAsia="Arial" w:hAnsi="Arial"/>
          <w:sz w:val="18"/>
          <w:szCs w:val="18"/>
          <w:color w:val="auto"/>
        </w:rPr>
      </w:pPr>
    </w:p>
    <w:p>
      <w:pPr>
        <w:ind w:right="180" w:firstLine="443"/>
        <w:spacing w:after="0" w:line="306" w:lineRule="auto"/>
        <w:tabs>
          <w:tab w:leader="none" w:pos="69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costs and expenses in connection with the acquisition, disposition, financing, hedging and ownership of the Company’s or any Subsidiary’s investments, including, without limitation, costs and expenses incurred in contracting with third parties to provide such services, such as legal fees, accounting fees, consulting fees, trustee fees, appraisal fees, insurance premiums, commitment fees, brokerage fees and guaranty fees;</w:t>
      </w:r>
    </w:p>
    <w:p>
      <w:pPr>
        <w:spacing w:after="0" w:line="25" w:lineRule="exact"/>
        <w:rPr>
          <w:rFonts w:ascii="Arial" w:cs="Arial" w:eastAsia="Arial" w:hAnsi="Arial"/>
          <w:sz w:val="16"/>
          <w:szCs w:val="16"/>
          <w:color w:val="auto"/>
        </w:rPr>
      </w:pPr>
    </w:p>
    <w:p>
      <w:pPr>
        <w:ind w:firstLine="443"/>
        <w:spacing w:after="0" w:line="259" w:lineRule="auto"/>
        <w:tabs>
          <w:tab w:leader="none" w:pos="7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legal, audit, accounting, consulting, brokerage, listing, filing, custodian, transfer agent, rating agency, registration and other fees and charges, printing, engraving and other expenses and taxes incurred in connection with the issuance, distribution, transfer, registration and stock exchange listing of the Company’s or any Subsidiary’s equity securities or debt securities;</w:t>
      </w:r>
    </w:p>
    <w:p>
      <w:pPr>
        <w:spacing w:after="0" w:line="59" w:lineRule="exact"/>
        <w:rPr>
          <w:rFonts w:ascii="Arial" w:cs="Arial" w:eastAsia="Arial" w:hAnsi="Arial"/>
          <w:sz w:val="18"/>
          <w:szCs w:val="18"/>
          <w:color w:val="auto"/>
        </w:rPr>
      </w:pPr>
    </w:p>
    <w:p>
      <w:pPr>
        <w:ind w:firstLine="443"/>
        <w:spacing w:after="0" w:line="294" w:lineRule="auto"/>
        <w:tabs>
          <w:tab w:leader="none" w:pos="7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expenses relating to communications to holders of equity securities or debt securities issued by the Company or any Subsidiary and other third party services utilized in maintaining relations with holders of such securities and in complying with the continuous reporting and other requirements of governmental bodies or agencies (including, without limitation, the SEC), including any costs of computer services in connection with this function, the cost of printing and mailing certificates for such securities and proxy solicitation materials and reports to holders of the Company’s or any Subsidiary’s securities and the cost of any reports to third parties required under any indenture to which the Company or any Subsidiary is a party;</w:t>
      </w:r>
    </w:p>
    <w:p>
      <w:pPr>
        <w:spacing w:after="0" w:line="34" w:lineRule="exact"/>
        <w:rPr>
          <w:rFonts w:ascii="Arial" w:cs="Arial" w:eastAsia="Arial" w:hAnsi="Arial"/>
          <w:sz w:val="16"/>
          <w:szCs w:val="16"/>
          <w:color w:val="auto"/>
        </w:rPr>
      </w:pPr>
    </w:p>
    <w:p>
      <w:pPr>
        <w:ind w:right="260" w:firstLine="443"/>
        <w:spacing w:after="0" w:line="306"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costs and expenses of money borrowed by the Company or its Subsidiaries, if any, including, without limitation, principal, interest and the costs associated with the establishment and maintenance of any credit facilities, warehouse loans, repurchase facilities and other indebtedness of the Company and its Subsidiaries, if any (including commitment fees, legal fees, closing and other costs);</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taxes and license fees applicable to the Company or any Subsidiary, including interest and penalties thereon;</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80" w:right="319" w:bottom="1440" w:gutter="0" w:footer="0" w:header="0"/>
        </w:sectPr>
      </w:pPr>
    </w:p>
    <w:bookmarkStart w:id="50" w:name="page51"/>
    <w:bookmarkEnd w:id="50"/>
    <w:p>
      <w:pPr>
        <w:ind w:right="560" w:firstLine="443"/>
        <w:spacing w:after="0" w:line="268" w:lineRule="auto"/>
        <w:tabs>
          <w:tab w:leader="none" w:pos="784"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fees paid to and expenses of third-party advisors and independent contractors, consultants, managers and other agents engaged by the Company or any Subsidiary or by the Manager for the account of the Company or any Subsidiary;</w:t>
      </w:r>
    </w:p>
    <w:p>
      <w:pPr>
        <w:spacing w:after="0" w:line="50" w:lineRule="exact"/>
        <w:rPr>
          <w:rFonts w:ascii="Arial" w:cs="Arial" w:eastAsia="Arial" w:hAnsi="Arial"/>
          <w:sz w:val="18"/>
          <w:szCs w:val="18"/>
          <w:color w:val="auto"/>
        </w:rPr>
      </w:pPr>
    </w:p>
    <w:p>
      <w:pPr>
        <w:ind w:firstLine="443"/>
        <w:spacing w:after="0" w:line="286" w:lineRule="auto"/>
        <w:tabs>
          <w:tab w:leader="none" w:pos="833"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insurance costs incurred by the Company or any Subsidiary, including, without limitation, the cost of obtaining and maintaining (A) liability or other insurance to indemnify (1) the Manager, (2) the directors and officers of the Company, and (3) underwriters of any securities of the Company,</w:t>
      </w:r>
    </w:p>
    <w:p>
      <w:pPr>
        <w:ind w:right="60" w:firstLine="4"/>
        <w:spacing w:after="0" w:line="261"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“errors and omissions” insurance coverage, and (C) any other insurance deemed necessary or advisable by the Board of Directors for the benefit of the Company and its directors and officers;</w:t>
      </w:r>
    </w:p>
    <w:p>
      <w:pPr>
        <w:spacing w:after="0" w:line="56" w:lineRule="exact"/>
        <w:rPr>
          <w:rFonts w:ascii="Arial" w:cs="Arial" w:eastAsia="Arial" w:hAnsi="Arial"/>
          <w:sz w:val="18"/>
          <w:szCs w:val="18"/>
          <w:color w:val="auto"/>
        </w:rPr>
      </w:pPr>
    </w:p>
    <w:p>
      <w:pPr>
        <w:ind w:right="420" w:firstLine="443"/>
        <w:spacing w:after="0" w:line="259" w:lineRule="auto"/>
        <w:tabs>
          <w:tab w:leader="none" w:pos="7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compensation and fees paid to directors of the Company or any Subsidiary (excluding those directors who are also directors, officers, employees or agents of American Capital or any of its Affiliates), and all expenses of all directors of the Company or any Subsidiary incurred in their capacity as such;</w:t>
      </w:r>
    </w:p>
    <w:p>
      <w:pPr>
        <w:spacing w:after="0" w:line="59" w:lineRule="exact"/>
        <w:rPr>
          <w:rFonts w:ascii="Arial" w:cs="Arial" w:eastAsia="Arial" w:hAnsi="Arial"/>
          <w:sz w:val="18"/>
          <w:szCs w:val="18"/>
          <w:color w:val="auto"/>
        </w:rPr>
      </w:pPr>
    </w:p>
    <w:p>
      <w:pPr>
        <w:ind w:right="700" w:firstLine="443"/>
        <w:spacing w:after="0" w:line="268" w:lineRule="auto"/>
        <w:tabs>
          <w:tab w:leader="none" w:pos="6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third-party legal, accounting and auditing fees and expenses and other similar services relating to the Company’s or any Subsidiary’s operations (including, without limitation, all quarterly and annual audit or tax fees and expenses);</w:t>
      </w:r>
    </w:p>
    <w:p>
      <w:pPr>
        <w:spacing w:after="0" w:line="50" w:lineRule="exact"/>
        <w:rPr>
          <w:rFonts w:ascii="Arial" w:cs="Arial" w:eastAsia="Arial" w:hAnsi="Arial"/>
          <w:sz w:val="18"/>
          <w:szCs w:val="18"/>
          <w:color w:val="auto"/>
        </w:rPr>
      </w:pPr>
    </w:p>
    <w:p>
      <w:pPr>
        <w:ind w:right="340" w:firstLine="443"/>
        <w:spacing w:after="0" w:line="259" w:lineRule="auto"/>
        <w:tabs>
          <w:tab w:leader="none" w:pos="7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third-party legal, expert and other fees and expenses relating to any actions, proceedings, lawsuits, demands, causes of action and claims, whether actual or threatened, made by or against the Company, or which the Company is authorized or obligated to pay under applicable law or its Governing Instruments or by the Board of Directors;</w:t>
      </w:r>
    </w:p>
    <w:p>
      <w:pPr>
        <w:spacing w:after="0" w:line="59" w:lineRule="exact"/>
        <w:rPr>
          <w:rFonts w:ascii="Arial" w:cs="Arial" w:eastAsia="Arial" w:hAnsi="Arial"/>
          <w:sz w:val="18"/>
          <w:szCs w:val="18"/>
          <w:color w:val="auto"/>
        </w:rPr>
      </w:pPr>
    </w:p>
    <w:p>
      <w:pPr>
        <w:ind w:right="80" w:firstLine="443"/>
        <w:spacing w:after="0" w:line="256" w:lineRule="auto"/>
        <w:tabs>
          <w:tab w:leader="none" w:pos="7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subject to Section 8 below, any judgment or settlement of pending or threatened proceedings (whether civil, criminal or otherwise) against the Company or any Subsidiary, or against any trustee, director or officer of the Company or any Subsidiary in his capacity as such for which the Company or any Subsidiary is required to indemnify such trustee, director or officer by any court or governmental agency, or settlement of pending or threatened proceedings;</w:t>
      </w:r>
    </w:p>
    <w:p>
      <w:pPr>
        <w:spacing w:after="0" w:line="62" w:lineRule="exact"/>
        <w:rPr>
          <w:rFonts w:ascii="Arial" w:cs="Arial" w:eastAsia="Arial" w:hAnsi="Arial"/>
          <w:sz w:val="18"/>
          <w:szCs w:val="18"/>
          <w:color w:val="auto"/>
        </w:rPr>
      </w:pPr>
    </w:p>
    <w:p>
      <w:pPr>
        <w:ind w:right="20" w:firstLine="443"/>
        <w:spacing w:after="0" w:line="255" w:lineRule="auto"/>
        <w:tabs>
          <w:tab w:leader="none" w:pos="83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all travel and related expenses of directors, officers and employees of the Company and the Manager, incurred in connection with attending meetings of the Board of Directors or holders of securities of the Company or any Subsidiary or performing other business activities that relate to the Company or any Subsidiary, including, without limitations, travel and related expenses incurred in connection with the purchase, consideration for purchase, financing, refinancing, sale or other disposition of any investment or potential investment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only be responsible for a proportionate share of such expenses, as</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the Manager in good faith, where such expenses were not incurred solely for the benefit of the Company;</w:t>
      </w:r>
    </w:p>
    <w:p>
      <w:pPr>
        <w:spacing w:after="0" w:line="90" w:lineRule="exact"/>
        <w:rPr>
          <w:sz w:val="20"/>
          <w:szCs w:val="20"/>
          <w:color w:val="auto"/>
        </w:rPr>
      </w:pPr>
    </w:p>
    <w:p>
      <w:pPr>
        <w:ind w:left="440" w:right="40" w:firstLine="443"/>
        <w:spacing w:after="0" w:line="268" w:lineRule="auto"/>
        <w:tabs>
          <w:tab w:leader="none" w:pos="12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expenses of organizing, modifying or dissolving the Company or any Subsidiary and costs preparatory to entering into a business or activity, or of winding up or disposing of a business activity of the Company or its Subsidiaries, if any;</w:t>
      </w:r>
    </w:p>
    <w:p>
      <w:pPr>
        <w:spacing w:after="0" w:line="50" w:lineRule="exact"/>
        <w:rPr>
          <w:rFonts w:ascii="Arial" w:cs="Arial" w:eastAsia="Arial" w:hAnsi="Arial"/>
          <w:sz w:val="18"/>
          <w:szCs w:val="18"/>
          <w:color w:val="auto"/>
        </w:rPr>
      </w:pPr>
    </w:p>
    <w:p>
      <w:pPr>
        <w:ind w:left="440" w:right="160" w:firstLine="443"/>
        <w:spacing w:after="0" w:line="259" w:lineRule="auto"/>
        <w:tabs>
          <w:tab w:leader="none" w:pos="1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expenses relating to payments of dividends or interest or distributions in cash or any other form made or caused to be made by the Board of Directors to or on account of holders of the securities of the Company or any Subsidiary, including, without limitation, in connection with any dividend reinvestment plan;</w:t>
      </w:r>
    </w:p>
    <w:p>
      <w:pPr>
        <w:spacing w:after="0" w:line="59" w:lineRule="exact"/>
        <w:rPr>
          <w:rFonts w:ascii="Arial" w:cs="Arial" w:eastAsia="Arial" w:hAnsi="Arial"/>
          <w:sz w:val="18"/>
          <w:szCs w:val="18"/>
          <w:color w:val="auto"/>
        </w:rPr>
      </w:pPr>
    </w:p>
    <w:p>
      <w:pPr>
        <w:ind w:left="440" w:right="280" w:firstLine="443"/>
        <w:spacing w:after="0" w:line="268" w:lineRule="auto"/>
        <w:tabs>
          <w:tab w:leader="none" w:pos="12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costs and expenses related to (A) the design and maintenance of the Company’s web site or sites and (B) the Company’s pro rata share of any computer software, hardware or information technology services that is used by the Company;</w:t>
      </w:r>
    </w:p>
    <w:p>
      <w:pPr>
        <w:spacing w:after="0" w:line="50" w:lineRule="exact"/>
        <w:rPr>
          <w:rFonts w:ascii="Arial" w:cs="Arial" w:eastAsia="Arial" w:hAnsi="Arial"/>
          <w:sz w:val="18"/>
          <w:szCs w:val="18"/>
          <w:color w:val="auto"/>
        </w:rPr>
      </w:pPr>
    </w:p>
    <w:p>
      <w:pPr>
        <w:ind w:left="440" w:right="460" w:firstLine="443"/>
        <w:spacing w:after="0" w:line="306" w:lineRule="auto"/>
        <w:tabs>
          <w:tab w:leader="none" w:pos="131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all costs and expenses incurred with respect to market information systems and publications, research publications and materials, and settlement, clearing and custodial fees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only be responsible for a proportionate share of such expenses, as determined by the Manager in good faith, where such expenses were not incurred solely for the benefit of the Company;</w:t>
      </w:r>
    </w:p>
    <w:p>
      <w:pPr>
        <w:spacing w:after="0" w:line="25" w:lineRule="exact"/>
        <w:rPr>
          <w:rFonts w:ascii="Arial" w:cs="Arial" w:eastAsia="Arial" w:hAnsi="Arial"/>
          <w:sz w:val="16"/>
          <w:szCs w:val="16"/>
          <w:color w:val="auto"/>
        </w:rPr>
      </w:pPr>
    </w:p>
    <w:p>
      <w:pPr>
        <w:ind w:left="1360" w:hanging="477"/>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costs and expenses incurred with respect to administering the Company’s incentive plans;</w:t>
      </w:r>
    </w:p>
    <w:p>
      <w:pPr>
        <w:spacing w:after="0" w:line="90" w:lineRule="exact"/>
        <w:rPr>
          <w:rFonts w:ascii="Arial" w:cs="Arial" w:eastAsia="Arial" w:hAnsi="Arial"/>
          <w:sz w:val="18"/>
          <w:szCs w:val="18"/>
          <w:color w:val="auto"/>
        </w:rPr>
      </w:pPr>
    </w:p>
    <w:p>
      <w:pPr>
        <w:ind w:left="440" w:firstLine="443"/>
        <w:spacing w:after="0" w:line="256" w:lineRule="auto"/>
        <w:tabs>
          <w:tab w:leader="none" w:pos="12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rent (including disaster recovery facilities costs and expenses), telephone, utilities, office furniture, equipment, machinery and other office, internal and overhead expenses of the Manager and its Affiliates required for the Company’s operations;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only be responsible for a proportionate share of such expenses, as determined by the Manager in good faith, where such expenses were not incurred solely for the benefit of the Company; and</w:t>
      </w:r>
    </w:p>
    <w:p>
      <w:pPr>
        <w:spacing w:after="0" w:line="62" w:lineRule="exact"/>
        <w:rPr>
          <w:rFonts w:ascii="Arial" w:cs="Arial" w:eastAsia="Arial" w:hAnsi="Arial"/>
          <w:sz w:val="18"/>
          <w:szCs w:val="18"/>
          <w:color w:val="auto"/>
        </w:rPr>
      </w:pPr>
    </w:p>
    <w:p>
      <w:pPr>
        <w:ind w:left="440" w:right="60" w:firstLine="443"/>
        <w:spacing w:after="0" w:line="306" w:lineRule="auto"/>
        <w:tabs>
          <w:tab w:leader="none" w:pos="12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other expenses actually incurred by the Manager or its Affiliates or their respective officers, employees, representatives or agents, or any Affiliates thereof, which are reasonably necessary for the performance by the Manager of its duties and functions under this Agreement (including, without limitation, any fees or expenses relating to the Company’s compliance with all governmental and regulatory matters).</w:t>
      </w:r>
    </w:p>
    <w:p>
      <w:pPr>
        <w:spacing w:after="0" w:line="107" w:lineRule="exact"/>
        <w:rPr>
          <w:sz w:val="20"/>
          <w:szCs w:val="20"/>
          <w:color w:val="auto"/>
        </w:rPr>
      </w:pPr>
    </w:p>
    <w:p>
      <w:pPr>
        <w:ind w:left="-20" w:right="120" w:firstLine="1492"/>
        <w:spacing w:after="0" w:line="268" w:lineRule="auto"/>
        <w:tabs>
          <w:tab w:leader="none" w:pos="17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and expenses incurred by the Manager on behalf of the Company shall be reimbursed monthly to the Manager. The Manager shall prepare a written statement in reasonable detail documenting the costs and expenses of the Company and those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52" w:name="page53"/>
    <w:bookmarkEnd w:id="5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by the Manager on behalf of the Company during each month, and shall deliver such written statement to the Company within thirty (30) days after the end of each month. The Company shall pay all amounts payable to the Manager pursuant to this Section 7(c) within five (5) Business Days after the receipt of the written statement without demand, deduction, offset or delay. Cost and expense reimbursement to the Manager shall be subject to adjustment at the end of each calendar year in connection with the annual audit of the Company. The provisions of this Section 7 shall survive the expiration or earlier termination of this Agreement to the extent such expenses has previously been incurred or are incurred in connection with such expiration or termination.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 Limits of the Manager’s Responsibility</w:t>
      </w:r>
      <w:r>
        <w:rPr>
          <w:rFonts w:ascii="Arial" w:cs="Arial" w:eastAsia="Arial" w:hAnsi="Arial"/>
          <w:sz w:val="18"/>
          <w:szCs w:val="18"/>
          <w:color w:val="auto"/>
        </w:rPr>
        <w:t>.</w:t>
      </w:r>
    </w:p>
    <w:p>
      <w:pPr>
        <w:spacing w:after="0" w:line="96" w:lineRule="exact"/>
        <w:rPr>
          <w:sz w:val="20"/>
          <w:szCs w:val="20"/>
          <w:color w:val="auto"/>
        </w:rPr>
      </w:pPr>
    </w:p>
    <w:p>
      <w:pPr>
        <w:ind w:right="20" w:firstLine="1492"/>
        <w:spacing w:after="0" w:line="286" w:lineRule="auto"/>
        <w:tabs>
          <w:tab w:leader="none" w:pos="172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Manager assumes no responsibility under this Agreement other than to render the services called for hereunder in good faith and shall not be responsible for any action of the Board of Directors in following or declining to follow any advice or recommendations of the Manager, including as set forth in the Investment Guidelines. The Manager and its Affiliates, and the directors, officers, employees and stockholders of the Manager and its Affiliates, will not be liable to the Company, any Subsidiary of the Company, the Board of Directors, or the Company’s stockholders for any acts or omissions by the Manager, its officers, employees or its Affiliates, performed in accordance with and pursuant to this Agreement, except by reason of acts constituting bad faith, willful misconduct, gross negligence or reckless disregard of their respective duties under this Agreement. The Company shall, to the full extent lawful, reimburse, indemnify and hold harmless the Manager, its Affiliates, and the directors, officers, employees and stockholders of the Manager and its Affiliates (each, a “</w:t>
      </w:r>
      <w:r>
        <w:rPr>
          <w:rFonts w:ascii="Arial" w:cs="Arial" w:eastAsia="Arial" w:hAnsi="Arial"/>
          <w:sz w:val="16"/>
          <w:szCs w:val="16"/>
          <w:i w:val="1"/>
          <w:iCs w:val="1"/>
          <w:color w:val="auto"/>
        </w:rPr>
        <w:t>Manager Indemnified Party</w:t>
      </w:r>
      <w:r>
        <w:rPr>
          <w:rFonts w:ascii="Arial" w:cs="Arial" w:eastAsia="Arial" w:hAnsi="Arial"/>
          <w:sz w:val="16"/>
          <w:szCs w:val="16"/>
          <w:color w:val="auto"/>
        </w:rPr>
        <w:t>”), of and from any and all expenses, losses, damages, liabilities, demands, charges and claims of any nature whatsoever, (including reasonable attorneys’ fees) (collectively “</w:t>
      </w:r>
      <w:r>
        <w:rPr>
          <w:rFonts w:ascii="Arial" w:cs="Arial" w:eastAsia="Arial" w:hAnsi="Arial"/>
          <w:sz w:val="16"/>
          <w:szCs w:val="16"/>
          <w:i w:val="1"/>
          <w:iCs w:val="1"/>
          <w:color w:val="auto"/>
        </w:rPr>
        <w:t>Losses</w:t>
      </w:r>
      <w:r>
        <w:rPr>
          <w:rFonts w:ascii="Arial" w:cs="Arial" w:eastAsia="Arial" w:hAnsi="Arial"/>
          <w:sz w:val="16"/>
          <w:szCs w:val="16"/>
          <w:color w:val="auto"/>
        </w:rPr>
        <w:t>”) in respect of or arising from any acts or omissions of such Manager Indemnified Party performed in good faith under this Agreement and, in respect of any such Manager Indemnified Party, not constituting bad faith, willful misconduct, gross negligence or reckless disregard of duties of such Manager Indemnified Party under this Agreement.</w:t>
      </w:r>
    </w:p>
    <w:p>
      <w:pPr>
        <w:spacing w:after="0" w:line="127" w:lineRule="exact"/>
        <w:rPr>
          <w:rFonts w:ascii="Arial" w:cs="Arial" w:eastAsia="Arial" w:hAnsi="Arial"/>
          <w:sz w:val="16"/>
          <w:szCs w:val="16"/>
          <w:color w:val="auto"/>
        </w:rPr>
      </w:pPr>
    </w:p>
    <w:p>
      <w:pPr>
        <w:ind w:right="220" w:firstLine="1492"/>
        <w:spacing w:after="0" w:line="284" w:lineRule="auto"/>
        <w:tabs>
          <w:tab w:leader="none" w:pos="173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Manager shall, to the full extent lawful, reimburse, indemnify and hold harmless the Company, and the directors, officers and stockholders of the Company and each Person, if any, controlling the Company (each, a “</w:t>
      </w:r>
      <w:r>
        <w:rPr>
          <w:rFonts w:ascii="Arial" w:cs="Arial" w:eastAsia="Arial" w:hAnsi="Arial"/>
          <w:sz w:val="16"/>
          <w:szCs w:val="16"/>
          <w:i w:val="1"/>
          <w:iCs w:val="1"/>
          <w:color w:val="auto"/>
        </w:rPr>
        <w:t>Company Indemnified Party</w:t>
      </w:r>
      <w:r>
        <w:rPr>
          <w:rFonts w:ascii="Arial" w:cs="Arial" w:eastAsia="Arial" w:hAnsi="Arial"/>
          <w:sz w:val="16"/>
          <w:szCs w:val="16"/>
          <w:color w:val="auto"/>
        </w:rPr>
        <w:t>”; a Manager Indemnified Party and a Company Indemnified Party are each sometimes hereinafter referred to as an “</w:t>
      </w:r>
      <w:r>
        <w:rPr>
          <w:rFonts w:ascii="Arial" w:cs="Arial" w:eastAsia="Arial" w:hAnsi="Arial"/>
          <w:sz w:val="16"/>
          <w:szCs w:val="16"/>
          <w:i w:val="1"/>
          <w:iCs w:val="1"/>
          <w:color w:val="auto"/>
        </w:rPr>
        <w:t>Indemnified Party</w:t>
      </w:r>
      <w:r>
        <w:rPr>
          <w:rFonts w:ascii="Arial" w:cs="Arial" w:eastAsia="Arial" w:hAnsi="Arial"/>
          <w:sz w:val="16"/>
          <w:szCs w:val="16"/>
          <w:color w:val="auto"/>
        </w:rPr>
        <w:t>”) of and from any and all Losses in respect of or arising from</w:t>
      </w:r>
    </w:p>
    <w:p>
      <w:pPr>
        <w:spacing w:after="0" w:line="1" w:lineRule="exact"/>
        <w:rPr>
          <w:rFonts w:ascii="Arial" w:cs="Arial" w:eastAsia="Arial" w:hAnsi="Arial"/>
          <w:sz w:val="16"/>
          <w:szCs w:val="16"/>
          <w:color w:val="auto"/>
        </w:rPr>
      </w:pPr>
    </w:p>
    <w:p>
      <w:pPr>
        <w:ind w:right="320" w:firstLine="8"/>
        <w:spacing w:after="0" w:line="323" w:lineRule="auto"/>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acts or omissions of the Manager constituting bad faith, willful misconduct, gross negligence or reckless disregard of duties of the Manager under this Agreement or (ii) any claims by the Manager’s employees relating to the terms and conditions of their employment by the Manager.</w:t>
      </w:r>
    </w:p>
    <w:p>
      <w:pPr>
        <w:spacing w:after="0" w:line="92" w:lineRule="exact"/>
        <w:rPr>
          <w:rFonts w:ascii="Arial" w:cs="Arial" w:eastAsia="Arial" w:hAnsi="Arial"/>
          <w:sz w:val="16"/>
          <w:szCs w:val="16"/>
          <w:color w:val="auto"/>
        </w:rPr>
      </w:pPr>
    </w:p>
    <w:p>
      <w:pPr>
        <w:ind w:right="280" w:firstLine="1492"/>
        <w:spacing w:after="0" w:line="259" w:lineRule="auto"/>
        <w:tabs>
          <w:tab w:leader="none" w:pos="172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case any such claim, suit, action or proceeding (a “</w:t>
      </w:r>
      <w:r>
        <w:rPr>
          <w:rFonts w:ascii="Arial" w:cs="Arial" w:eastAsia="Arial" w:hAnsi="Arial"/>
          <w:sz w:val="18"/>
          <w:szCs w:val="18"/>
          <w:i w:val="1"/>
          <w:iCs w:val="1"/>
          <w:color w:val="auto"/>
        </w:rPr>
        <w:t>Claim</w:t>
      </w:r>
      <w:r>
        <w:rPr>
          <w:rFonts w:ascii="Arial" w:cs="Arial" w:eastAsia="Arial" w:hAnsi="Arial"/>
          <w:sz w:val="18"/>
          <w:szCs w:val="18"/>
          <w:color w:val="auto"/>
        </w:rPr>
        <w:t>”) is brought against any Indemnified Party in respect of which indemnification may be sought by such Indemnified Party pursuant hereto, the Indemnified Party shall give prompt written notice thereof to the indemnifying party, which notice shall include all documents and information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53" w:name="page54"/>
    <w:bookmarkEnd w:id="5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possession of or under the control of such Indemnified Party reasonably necessary for the evaluation and/or defense of such Claim and shall specifically state that indemnification for such Claim is being sought under this Section;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the Indemnified Party to so notify the indemnifying party shall not limit or affect such Indemnified Party’s rights to be indemnified pursuant to this Section. Upon receipt of such notice of Claim (together with such documents and information from such Indemnified Party), the indemnifying party shall, at its sole cost and expense, in good faith defend any such Claim with counsel reasonably satisfactory to such Indemnified Party, which counsel may, without limiting the rights of such Indemnified Party pursuant to the next succeeding sentence of this Section, also represent the indemnifying party in such investigation, action or proceeding. In the alternative, such Indemnified Party may elect to conduct the defense of the Claim, if (i) such Indemnified Party reasonably determines that the conduct of its defense by the indemnifying party could be materially prejudicial to its interests, (ii) the indemnifying party refuses to defend (or fails to give written notice to the Indemnified Party within ten (10) days of receipt of a notice of Claim that the indemnifying party assumes such defense), or (iii) the indemnifying party shall have failed, in such Indemnified Party’s reasonable judgment, to defend the Claim in good faith. The indemnifying party may settle any Claim against such Indemnified Party without such Indemnified Party’s consent, provided (i) such settlement is without any Losses whatsoever to such Indemnified Party, (ii) the settlement does not include or require any admission of liability or culpability by such Indemnified Party and (iii) the indemnifying party obtains an effective written release of liability for such Indemnified Party from the party to the Claim with whom such settlement is being made, which release must be reasonably acceptable to such Indemnified Party, and a dismissal with prejudice with respect to all claims made by the party against such Indemnified Party in connection with such Claim. The applicable Indemnified Party shall reasonably cooperate with the indemnifying party, at the indemnifying party’s sole cost and expense, in connection with the defense or settlement of any Claim in accordance with the terms hereof. If such Indemnified Party is entitled pursuant to this Section to elect to defend such Claim by counsel of its own choosing and so elects, then the indemnifying party shall be responsible for any good faith settlement of such Claim entered into by such Indemnified Party. Except as provided in the immediately preceding sentence, no Indemnified Party may pay or settle any Claim and seek reimbursement therefor under this Section.</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 The provisions of this Section 8 shall survive the expiration or earlier termination of this Agreement.</w:t>
      </w:r>
    </w:p>
    <w:p>
      <w:pPr>
        <w:spacing w:after="0" w:line="165"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Section 9. No Joint Venture</w:t>
      </w:r>
      <w:r>
        <w:rPr>
          <w:rFonts w:ascii="Arial" w:cs="Arial" w:eastAsia="Arial" w:hAnsi="Arial"/>
          <w:sz w:val="18"/>
          <w:szCs w:val="18"/>
          <w:color w:val="auto"/>
        </w:rPr>
        <w:t>. The Company and the Manager are not partners or joint venturers with each other and nothing herein shall be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such partners or joint venturers or impose any liability as such on either of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 Term; Renewal</w:t>
      </w:r>
      <w:r>
        <w:rPr>
          <w:rFonts w:ascii="Arial" w:cs="Arial" w:eastAsia="Arial" w:hAnsi="Arial"/>
          <w:sz w:val="18"/>
          <w:szCs w:val="18"/>
          <w:color w:val="auto"/>
        </w:rPr>
        <w:t>.</w:t>
      </w:r>
    </w:p>
    <w:p>
      <w:pPr>
        <w:spacing w:after="0" w:line="96" w:lineRule="exact"/>
        <w:rPr>
          <w:sz w:val="20"/>
          <w:szCs w:val="20"/>
          <w:color w:val="auto"/>
        </w:rPr>
      </w:pPr>
    </w:p>
    <w:p>
      <w:pPr>
        <w:ind w:right="20" w:firstLine="1492"/>
        <w:spacing w:after="0" w:line="268" w:lineRule="auto"/>
        <w:tabs>
          <w:tab w:leader="none" w:pos="172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Initial Term</w:t>
      </w:r>
      <w:r>
        <w:rPr>
          <w:rFonts w:ascii="Arial" w:cs="Arial" w:eastAsia="Arial" w:hAnsi="Arial"/>
          <w:sz w:val="18"/>
          <w:szCs w:val="18"/>
          <w:color w:val="auto"/>
        </w:rPr>
        <w:t>. This Agreement shall become effective on the Closing Date and shall continue in operation, unless terminated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the terms hereof, until </w:t>
      </w:r>
      <w:r>
        <w:rPr>
          <w:rFonts w:ascii="Arial" w:cs="Arial" w:eastAsia="Arial" w:hAnsi="Arial"/>
          <w:sz w:val="18"/>
          <w:szCs w:val="18"/>
          <w:b w:val="1"/>
          <w:bCs w:val="1"/>
          <w:color w:val="auto"/>
        </w:rPr>
        <w:t>•</w:t>
      </w:r>
      <w:r>
        <w:rPr>
          <w:rFonts w:ascii="Arial" w:cs="Arial" w:eastAsia="Arial" w:hAnsi="Arial"/>
          <w:sz w:val="18"/>
          <w:szCs w:val="18"/>
          <w:color w:val="auto"/>
        </w:rPr>
        <w:t>, 2011 (the “</w:t>
      </w:r>
      <w:r>
        <w:rPr>
          <w:rFonts w:ascii="Arial" w:cs="Arial" w:eastAsia="Arial" w:hAnsi="Arial"/>
          <w:sz w:val="18"/>
          <w:szCs w:val="18"/>
          <w:i w:val="1"/>
          <w:iCs w:val="1"/>
          <w:color w:val="auto"/>
        </w:rPr>
        <w:t>Initial Term</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4" w:name="page55"/>
    <w:bookmarkEnd w:id="54"/>
    <w:p>
      <w:pPr>
        <w:ind w:firstLine="1492"/>
        <w:spacing w:after="0" w:line="259" w:lineRule="auto"/>
        <w:tabs>
          <w:tab w:leader="none" w:pos="173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Automatic Renewal Terms</w:t>
      </w:r>
      <w:r>
        <w:rPr>
          <w:rFonts w:ascii="Arial" w:cs="Arial" w:eastAsia="Arial" w:hAnsi="Arial"/>
          <w:sz w:val="18"/>
          <w:szCs w:val="18"/>
          <w:color w:val="auto"/>
        </w:rPr>
        <w:t>. After the Initial Term, this Agreement shall be deemed renewed automatically each year for an additional one-year period (an “</w:t>
      </w:r>
      <w:r>
        <w:rPr>
          <w:rFonts w:ascii="Arial" w:cs="Arial" w:eastAsia="Arial" w:hAnsi="Arial"/>
          <w:sz w:val="18"/>
          <w:szCs w:val="18"/>
          <w:i w:val="1"/>
          <w:iCs w:val="1"/>
          <w:color w:val="auto"/>
        </w:rPr>
        <w:t>Automatic Renewal Term</w:t>
      </w:r>
      <w:r>
        <w:rPr>
          <w:rFonts w:ascii="Arial" w:cs="Arial" w:eastAsia="Arial" w:hAnsi="Arial"/>
          <w:sz w:val="18"/>
          <w:szCs w:val="18"/>
          <w:color w:val="auto"/>
        </w:rPr>
        <w:t>”) unless the Company or the Manager elects not to renew this Agreement in accordance with Section 10(c) of this Agreement.</w:t>
      </w:r>
    </w:p>
    <w:p>
      <w:pPr>
        <w:spacing w:after="0" w:line="140" w:lineRule="exact"/>
        <w:rPr>
          <w:rFonts w:ascii="Arial" w:cs="Arial" w:eastAsia="Arial" w:hAnsi="Arial"/>
          <w:sz w:val="18"/>
          <w:szCs w:val="18"/>
          <w:color w:val="auto"/>
        </w:rPr>
      </w:pPr>
    </w:p>
    <w:p>
      <w:pPr>
        <w:ind w:firstLine="1492"/>
        <w:spacing w:after="0" w:line="287" w:lineRule="auto"/>
        <w:tabs>
          <w:tab w:leader="none" w:pos="1722"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Nonrenewal of this Agreement Without Cause</w:t>
      </w:r>
      <w:r>
        <w:rPr>
          <w:rFonts w:ascii="Arial" w:cs="Arial" w:eastAsia="Arial" w:hAnsi="Arial"/>
          <w:sz w:val="16"/>
          <w:szCs w:val="16"/>
          <w:color w:val="auto"/>
        </w:rPr>
        <w:t>. Notwithstanding any other provision of this Agreement to the contrary, upon the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Initial Term and upon 180 days’ prior written notice to the Manager or the Company (the “</w:t>
      </w:r>
      <w:r>
        <w:rPr>
          <w:rFonts w:ascii="Arial" w:cs="Arial" w:eastAsia="Arial" w:hAnsi="Arial"/>
          <w:sz w:val="16"/>
          <w:szCs w:val="16"/>
          <w:i w:val="1"/>
          <w:iCs w:val="1"/>
          <w:color w:val="auto"/>
        </w:rPr>
        <w:t>Termination Notice</w:t>
      </w:r>
      <w:r>
        <w:rPr>
          <w:rFonts w:ascii="Arial" w:cs="Arial" w:eastAsia="Arial" w:hAnsi="Arial"/>
          <w:sz w:val="16"/>
          <w:szCs w:val="16"/>
          <w:color w:val="auto"/>
        </w:rPr>
        <w:t>”), either the Company (but only with the approval of a majority of the Independent Directors) or the Manager may, without cause, in connection with the expiration of the Initial Term or any Automatic Renewal Term, decline to renew this Agreement (any such nonrenewal, a “</w:t>
      </w:r>
      <w:r>
        <w:rPr>
          <w:rFonts w:ascii="Arial" w:cs="Arial" w:eastAsia="Arial" w:hAnsi="Arial"/>
          <w:sz w:val="16"/>
          <w:szCs w:val="16"/>
          <w:i w:val="1"/>
          <w:iCs w:val="1"/>
          <w:color w:val="auto"/>
        </w:rPr>
        <w:t>Termination Without Cause</w:t>
      </w:r>
      <w:r>
        <w:rPr>
          <w:rFonts w:ascii="Arial" w:cs="Arial" w:eastAsia="Arial" w:hAnsi="Arial"/>
          <w:sz w:val="16"/>
          <w:szCs w:val="16"/>
          <w:color w:val="auto"/>
        </w:rPr>
        <w:t>”). If the Company issues the Termination Notice, the Company shall be obligated to (i) specify the reason for nonrenewal in the Termination Notice and (ii) pay the Manager the Termination Fee before or on the last day of the Initial Term or Automatic Renewal Term (the “</w:t>
      </w:r>
      <w:r>
        <w:rPr>
          <w:rFonts w:ascii="Arial" w:cs="Arial" w:eastAsia="Arial" w:hAnsi="Arial"/>
          <w:sz w:val="16"/>
          <w:szCs w:val="16"/>
          <w:i w:val="1"/>
          <w:iCs w:val="1"/>
          <w:color w:val="auto"/>
        </w:rPr>
        <w:t>Effective Termination Date</w:t>
      </w:r>
      <w:r>
        <w:rPr>
          <w:rFonts w:ascii="Arial" w:cs="Arial" w:eastAsia="Arial" w:hAnsi="Arial"/>
          <w:sz w:val="16"/>
          <w:szCs w:val="16"/>
          <w:color w:val="auto"/>
        </w:rPr>
        <w:t>”). In the event of a Termination Without Cause, nonrenewal of this Agreement shall be without any further liability or obligation of either party to the other, except as provided in Section 3(b), Section 8 and Section 14 of this Agreement. The Manager shall cooperate with the Company in executing an orderly transition of the management of the Company’s assets to a new manager. The Company may terminate this Agreement for cause pursuant to Section 12 hereof even after a Termination Without Cause and, in such case, no Termination Fee shall be payable.</w:t>
      </w:r>
    </w:p>
    <w:p>
      <w:pPr>
        <w:spacing w:after="0" w:line="122" w:lineRule="exact"/>
        <w:rPr>
          <w:rFonts w:ascii="Arial" w:cs="Arial" w:eastAsia="Arial" w:hAnsi="Arial"/>
          <w:sz w:val="16"/>
          <w:szCs w:val="16"/>
          <w:color w:val="auto"/>
        </w:rPr>
      </w:pPr>
    </w:p>
    <w:p>
      <w:pPr>
        <w:ind w:firstLine="1492"/>
        <w:spacing w:after="0" w:line="286" w:lineRule="auto"/>
        <w:tabs>
          <w:tab w:leader="none" w:pos="1732"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Unfair Manager Compensation</w:t>
      </w:r>
      <w:r>
        <w:rPr>
          <w:rFonts w:ascii="Arial" w:cs="Arial" w:eastAsia="Arial" w:hAnsi="Arial"/>
          <w:sz w:val="16"/>
          <w:szCs w:val="16"/>
          <w:color w:val="auto"/>
        </w:rPr>
        <w:t>. Notwithstanding the provisions of subsection (c) above, if the reason for nonrenewal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Termination Notice is that a majority of the Independent Directors have determined that the Management Fee payable to the Manager is unfair, the Company shall not have the foregoing nonrenewal right in the event the Manager agrees that it will continue to perform its duties hereunder during the Automatic Renewal Term that would commence upon the expiration of the Initial Term or then current Automatic Renewal Term at a fee that the majority of the Independent Directors determine to be fair; </w:t>
      </w:r>
      <w:r>
        <w:rPr>
          <w:rFonts w:ascii="Arial" w:cs="Arial" w:eastAsia="Arial" w:hAnsi="Arial"/>
          <w:sz w:val="16"/>
          <w:szCs w:val="16"/>
          <w:i w:val="1"/>
          <w:iCs w:val="1"/>
          <w:color w:val="auto"/>
        </w:rPr>
        <w:t>provided, however</w:t>
      </w:r>
      <w:r>
        <w:rPr>
          <w:rFonts w:ascii="Arial" w:cs="Arial" w:eastAsia="Arial" w:hAnsi="Arial"/>
          <w:sz w:val="16"/>
          <w:szCs w:val="16"/>
          <w:color w:val="auto"/>
        </w:rPr>
        <w:t>, the Manager shall have the right to renegotiate the Management Fee by delivering to the Company, not less than 120 days prior to the pending Effective Termination Date, written notice (a “</w:t>
      </w:r>
      <w:r>
        <w:rPr>
          <w:rFonts w:ascii="Arial" w:cs="Arial" w:eastAsia="Arial" w:hAnsi="Arial"/>
          <w:sz w:val="16"/>
          <w:szCs w:val="16"/>
          <w:i w:val="1"/>
          <w:iCs w:val="1"/>
          <w:color w:val="auto"/>
        </w:rPr>
        <w:t>Notice of Proposal to Negotiate</w:t>
      </w:r>
      <w:r>
        <w:rPr>
          <w:rFonts w:ascii="Arial" w:cs="Arial" w:eastAsia="Arial" w:hAnsi="Arial"/>
          <w:sz w:val="16"/>
          <w:szCs w:val="16"/>
          <w:color w:val="auto"/>
        </w:rPr>
        <w:t>”) of its intention to renegotiate the Management Fee. Thereupon, the Company and the Manager shall endeavor to negotiate the Management Fee in good faith. Provided that the Company and the Manager agree to a revised Management Fee or other compensation structure within sixty (60) days following the Company’s receipt of the Notice of Proposal to Negotiate, the Termination Notice from the Company shall be deemed of no force and effect, and this Agreement shall continue in full force and effect on the terms stated herein, except that the Management Fee or other compensation structure shall be the revised Management Fee or other compensation structure then agreed upon by the Company and the Manager. The Company and the Manager agree to execute and deliver an amendment to this Agreement setting forth such revised Management Fee or other compensation structure promptly upon reaching an agreement regarding same. In the event that the Company and the Manager are unable to agree to a revised Management Fee or other compensation structure during such sixty (60) day period, this Agreement shall terminate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Effective Termination Date and the Company shall be obligated to pay the Manager the Termination Fee upon the Effective Termination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 Assignments</w:t>
      </w:r>
      <w:r>
        <w:rPr>
          <w:rFonts w:ascii="Arial" w:cs="Arial" w:eastAsia="Arial" w:hAnsi="Arial"/>
          <w:sz w:val="18"/>
          <w:szCs w:val="18"/>
          <w:color w:val="auto"/>
        </w:rPr>
        <w:t>.</w:t>
      </w:r>
    </w:p>
    <w:p>
      <w:pPr>
        <w:spacing w:after="0" w:line="96" w:lineRule="exact"/>
        <w:rPr>
          <w:sz w:val="20"/>
          <w:szCs w:val="20"/>
          <w:color w:val="auto"/>
        </w:rPr>
      </w:pPr>
    </w:p>
    <w:p>
      <w:pPr>
        <w:ind w:right="20" w:firstLine="1492"/>
        <w:spacing w:after="0" w:line="288" w:lineRule="auto"/>
        <w:tabs>
          <w:tab w:leader="none" w:pos="172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Assignments by the Manager. </w:t>
      </w:r>
      <w:r>
        <w:rPr>
          <w:rFonts w:ascii="Arial" w:cs="Arial" w:eastAsia="Arial" w:hAnsi="Arial"/>
          <w:sz w:val="16"/>
          <w:szCs w:val="16"/>
          <w:color w:val="auto"/>
        </w:rPr>
        <w:t>This Agreement shall terminate automatically without payment of the Termination Fee in the event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 in whole or in part, by the Manager, unless such assignment is consented to in writing by the Company with the consent of a majority of the Independent Directors. Any such permitted assignment shall bind the assignee under this Agreement in the same manner as the Manager is bound, and the Manager shall be liable to the Company for all errors or omissions of the assignee under any such assignment. In addition, the assignee shall execute and deliver to the Company a counterpart of this Agreement naming such assignee as the Manager. Notwithstanding the foregoing, the Manager may (i) assign this Agreement to an Affiliate of the Manager that is a successor to the Manager by reason of a restructuring or other internal reorganization among the Manager and any one or more of its Affiliates without the consent of the majority of the Independent Directors and (ii) delegate to one or more of its Affiliates the performance of any of its responsibilities hereunder so long as it remains liable for any such Affiliate’s performance. Nothing contained in this Agreement shall preclude any pledge, hypothecation or other transfer of any amounts payable to the Manager under this Agreement.</w:t>
      </w:r>
    </w:p>
    <w:p>
      <w:pPr>
        <w:spacing w:after="0" w:line="119" w:lineRule="exact"/>
        <w:rPr>
          <w:rFonts w:ascii="Arial" w:cs="Arial" w:eastAsia="Arial" w:hAnsi="Arial"/>
          <w:sz w:val="16"/>
          <w:szCs w:val="16"/>
          <w:color w:val="auto"/>
        </w:rPr>
      </w:pPr>
    </w:p>
    <w:p>
      <w:pPr>
        <w:ind w:right="100" w:firstLine="1492"/>
        <w:spacing w:after="0" w:line="306"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Assignments by the Company. </w:t>
      </w:r>
      <w:r>
        <w:rPr>
          <w:rFonts w:ascii="Arial" w:cs="Arial" w:eastAsia="Arial" w:hAnsi="Arial"/>
          <w:sz w:val="16"/>
          <w:szCs w:val="16"/>
          <w:color w:val="auto"/>
        </w:rPr>
        <w:t>This Agreement shall terminate automatically in the event of its assignment, in whole or in part,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unless such assignment is consented to in writing by the Manager. Any such permitted assignment shall bind the assignee under this Agreement in the same manner as the Company is bound. In addition, the assignee shall execute and deliver to the Manager a counterpart of this Agreement.</w:t>
      </w:r>
    </w:p>
    <w:p>
      <w:pPr>
        <w:spacing w:after="0" w:line="10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Section 12. Termination of the Manager for Cause</w:t>
      </w:r>
      <w:r>
        <w:rPr>
          <w:rFonts w:ascii="Arial" w:cs="Arial" w:eastAsia="Arial" w:hAnsi="Arial"/>
          <w:sz w:val="16"/>
          <w:szCs w:val="16"/>
          <w:color w:val="auto"/>
        </w:rPr>
        <w:t>. At the option of the Company and at any time during the term of this Agreement,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and become terminated upon 60 days’ written notice of termination from the Board of Directors to the Manager, without payment of the Termination Fee, if any of the following events shall occur, which shall be determined by a majority of the Independent Directors:</w:t>
      </w:r>
    </w:p>
    <w:p>
      <w:pPr>
        <w:spacing w:after="0" w:line="22" w:lineRule="exact"/>
        <w:rPr>
          <w:sz w:val="20"/>
          <w:szCs w:val="20"/>
          <w:color w:val="auto"/>
        </w:rPr>
      </w:pPr>
    </w:p>
    <w:p>
      <w:pPr>
        <w:ind w:firstLine="1492"/>
        <w:spacing w:after="0" w:line="259" w:lineRule="auto"/>
        <w:tabs>
          <w:tab w:leader="none" w:pos="172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Manager shall commit any act of fraud, misappropriation of funds, or embezzlement against the Company or shall be grossly negligent in the performance of its duties under this Agreement (including such action or inaction by the Manager which materially impairs the Company’s ability to conduct its business);</w:t>
      </w:r>
    </w:p>
    <w:p>
      <w:pPr>
        <w:spacing w:after="0" w:line="140" w:lineRule="exact"/>
        <w:rPr>
          <w:rFonts w:ascii="Arial" w:cs="Arial" w:eastAsia="Arial" w:hAnsi="Arial"/>
          <w:sz w:val="18"/>
          <w:szCs w:val="18"/>
          <w:color w:val="auto"/>
        </w:rPr>
      </w:pPr>
    </w:p>
    <w:p>
      <w:pPr>
        <w:jc w:val="both"/>
        <w:ind w:right="100" w:firstLine="1492"/>
        <w:spacing w:after="0" w:line="259" w:lineRule="auto"/>
        <w:tabs>
          <w:tab w:leader="none" w:pos="17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Manager shall fail to provide adequate or appropriate personnel necessary for the Manager to originate investment opportunities for the Company and to manage and develop the Company’s portfolio; </w:t>
      </w:r>
      <w:r>
        <w:rPr>
          <w:rFonts w:ascii="Arial" w:cs="Arial" w:eastAsia="Arial" w:hAnsi="Arial"/>
          <w:sz w:val="18"/>
          <w:szCs w:val="18"/>
          <w:i w:val="1"/>
          <w:iCs w:val="1"/>
          <w:color w:val="auto"/>
        </w:rPr>
        <w:t>provided</w:t>
      </w:r>
      <w:r>
        <w:rPr>
          <w:rFonts w:ascii="Arial" w:cs="Arial" w:eastAsia="Arial" w:hAnsi="Arial"/>
          <w:sz w:val="18"/>
          <w:szCs w:val="18"/>
          <w:color w:val="auto"/>
        </w:rPr>
        <w:t>, that such default has continued uncured for a period of sixty (60) days after written notice thereof, which notice shall contain a request that the same be remedied;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6" w:name="page57"/>
    <w:bookmarkEnd w:id="56"/>
    <w:p>
      <w:pPr>
        <w:jc w:val="both"/>
        <w:ind w:right="180" w:firstLine="1492"/>
        <w:spacing w:after="0" w:line="259" w:lineRule="auto"/>
        <w:tabs>
          <w:tab w:leader="none" w:pos="172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Manager shall commit a material breach of any provision of this Agreement (including the failure of the Manager to use reasonable efforts to comply with the Investment Guidelines); </w:t>
      </w:r>
      <w:r>
        <w:rPr>
          <w:rFonts w:ascii="Arial" w:cs="Arial" w:eastAsia="Arial" w:hAnsi="Arial"/>
          <w:sz w:val="18"/>
          <w:szCs w:val="18"/>
          <w:i w:val="1"/>
          <w:iCs w:val="1"/>
          <w:color w:val="auto"/>
        </w:rPr>
        <w:t>provided</w:t>
      </w:r>
      <w:r>
        <w:rPr>
          <w:rFonts w:ascii="Arial" w:cs="Arial" w:eastAsia="Arial" w:hAnsi="Arial"/>
          <w:sz w:val="18"/>
          <w:szCs w:val="18"/>
          <w:color w:val="auto"/>
        </w:rPr>
        <w:t>, that such default has continued uncured for a period of sixty (60) days after written notice thereof, which notice shall contain a request that the same be remedied;</w:t>
      </w:r>
    </w:p>
    <w:p>
      <w:pPr>
        <w:spacing w:after="0" w:line="140" w:lineRule="exact"/>
        <w:rPr>
          <w:rFonts w:ascii="Arial" w:cs="Arial" w:eastAsia="Arial" w:hAnsi="Arial"/>
          <w:sz w:val="18"/>
          <w:szCs w:val="18"/>
          <w:color w:val="auto"/>
        </w:rPr>
      </w:pPr>
    </w:p>
    <w:p>
      <w:pPr>
        <w:ind w:firstLine="1492"/>
        <w:spacing w:after="0" w:line="288" w:lineRule="auto"/>
        <w:tabs>
          <w:tab w:leader="none" w:pos="17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the Manager shall commence any case, proceeding or other action (1)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(2) seeking appointment of a receiver, trustee, custodian, conservator or other similar official for it or for all or any substantial part of its assets, or the Manager shall make a general assignment for the benefit of its creditors; or (B) there shall be commenced against the Manager any case, proceeding or other action of a nature referred to in clause (A) above which (1) results in the entry of an order for relief or any such adjudication or appointment or (2) remains undismissed, undischarged or unbonded for a period of 90 days; or (C) the Manager shall take any action in furtherance of, or indicating its consent to, approval of, or acquiescence in, any of the acts set forth in clause (A) or (B) above; or (D) the Manager shall generally not, or shall be unable to, or shall admit in writing its inability to, pay its debts as they become due; or</w:t>
      </w:r>
    </w:p>
    <w:p>
      <w:pPr>
        <w:spacing w:after="0" w:line="119" w:lineRule="exact"/>
        <w:rPr>
          <w:rFonts w:ascii="Arial" w:cs="Arial" w:eastAsia="Arial" w:hAnsi="Arial"/>
          <w:sz w:val="16"/>
          <w:szCs w:val="16"/>
          <w:color w:val="auto"/>
        </w:rPr>
      </w:pPr>
    </w:p>
    <w:p>
      <w:pPr>
        <w:ind w:left="1740" w:hanging="248"/>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dissolution of the Manager.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any of the events specified above shall occur, the Manager shall give prompt written notice thereof to the Board of Directors.</w:t>
      </w:r>
    </w:p>
    <w:p>
      <w:pPr>
        <w:spacing w:after="0" w:line="165" w:lineRule="exact"/>
        <w:rPr>
          <w:sz w:val="20"/>
          <w:szCs w:val="20"/>
          <w:color w:val="auto"/>
        </w:rPr>
      </w:pPr>
    </w:p>
    <w:p>
      <w:pPr>
        <w:ind w:right="540" w:firstLine="456"/>
        <w:spacing w:after="0" w:line="310" w:lineRule="auto"/>
        <w:rPr>
          <w:sz w:val="20"/>
          <w:szCs w:val="20"/>
          <w:color w:val="auto"/>
        </w:rPr>
      </w:pPr>
      <w:r>
        <w:rPr>
          <w:rFonts w:ascii="Arial" w:cs="Arial" w:eastAsia="Arial" w:hAnsi="Arial"/>
          <w:sz w:val="16"/>
          <w:szCs w:val="16"/>
          <w:b w:val="1"/>
          <w:bCs w:val="1"/>
          <w:color w:val="auto"/>
        </w:rPr>
        <w:t>Section 13. Action Upon Termination</w:t>
      </w:r>
      <w:r>
        <w:rPr>
          <w:rFonts w:ascii="Arial" w:cs="Arial" w:eastAsia="Arial" w:hAnsi="Arial"/>
          <w:sz w:val="16"/>
          <w:szCs w:val="16"/>
          <w:color w:val="auto"/>
        </w:rPr>
        <w:t>. From and after the effective date of termination of this Agreement pursuant to Sections 10, 11, or 12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Manager shall not be entitled to compensation for further services hereunder, but shall be paid all compensation accruing to the date of termination and, if terminated or not renewed pursuant to Section 10, the Termination Fee. Upon any such termination, the Manager shall forthwith:</w:t>
      </w:r>
    </w:p>
    <w:p>
      <w:pPr>
        <w:spacing w:after="0" w:line="22" w:lineRule="exact"/>
        <w:rPr>
          <w:sz w:val="20"/>
          <w:szCs w:val="20"/>
          <w:color w:val="auto"/>
        </w:rPr>
      </w:pPr>
    </w:p>
    <w:p>
      <w:pPr>
        <w:ind w:right="120" w:firstLine="1492"/>
        <w:spacing w:after="0" w:line="268" w:lineRule="auto"/>
        <w:tabs>
          <w:tab w:leader="none" w:pos="17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deducting any accrued compensation and reimbursement for its expenses to which it is then entitled, pay over to the Company or a Subsidiary all money collected and held for the account of the Company or a Subsidiary pursuant to this Agreement;</w:t>
      </w:r>
    </w:p>
    <w:p>
      <w:pPr>
        <w:spacing w:after="0" w:line="131" w:lineRule="exact"/>
        <w:rPr>
          <w:rFonts w:ascii="Arial" w:cs="Arial" w:eastAsia="Arial" w:hAnsi="Arial"/>
          <w:sz w:val="18"/>
          <w:szCs w:val="18"/>
          <w:color w:val="auto"/>
        </w:rPr>
      </w:pPr>
    </w:p>
    <w:p>
      <w:pPr>
        <w:ind w:right="400" w:firstLine="1492"/>
        <w:spacing w:after="0" w:line="259" w:lineRule="auto"/>
        <w:tabs>
          <w:tab w:leader="none" w:pos="17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 to the Board of Directors a full accounting, including a statement showing all payments collected by it and a statement of all money held by it, covering the period following the date of the last accounting furnished to the Board of Directors with respect to the Company and any Subsidiaries;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7" w:name="page58"/>
    <w:bookmarkEnd w:id="5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deliver to the Board of Directors all property and documents of the Company and any Subsidiaries then in the custody of the Manager.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Release of Money or Other Property Upon Written Request</w:t>
      </w:r>
      <w:r>
        <w:rPr>
          <w:rFonts w:ascii="Arial" w:cs="Arial" w:eastAsia="Arial" w:hAnsi="Arial"/>
          <w:sz w:val="18"/>
          <w:szCs w:val="18"/>
          <w:color w:val="auto"/>
        </w:rPr>
        <w:t>.</w:t>
      </w:r>
    </w:p>
    <w:p>
      <w:pPr>
        <w:spacing w:after="0" w:line="9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Manager agrees that any money or other property of the Company (which such term, for the purposes of this Section, shall be deemed to include any and all of its Subsidiaries, if any) held by the Manager shall be held by the Manager as custodian for the Company, and the Manager’s records shall be appropriately and clearly marked to reflect the ownership of such money or other property by the Company. Upon the receipt by the Manager of a written request signed by a duly authorized officer of the Company requesting the Manager to release to the Company any money or other property then held by the Manager for the account of the Company under this Agreement, the Manager shall release such money or other property to the Company within a reasonable period of time, but in no event later than 60 days following such request. Upon delivery of such money or other property to the Company, the Manager shall not be liable to the Company, the Board of Directors, or the Company’s stockholders or partners for any acts or omissions by the Company in connection with the money or other property released to the Company in accordance with this Section. The Company shall indemnify the Manager, its directors, officers, stockholders, employees and agents against any and all expenses, losses, damages, liabilities, demands, charges and claims of any nature whatsoever, which arise in connection with the Manager’s release of such money or other property to the Company in accordance with the terms of this Section 14. Indemnification pursuant to this provision shall be in addition to any right of the Manager to indemnification under Section 8 of this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 Representations and Warranties</w:t>
      </w:r>
      <w:r>
        <w:rPr>
          <w:rFonts w:ascii="Arial" w:cs="Arial" w:eastAsia="Arial" w:hAnsi="Arial"/>
          <w:sz w:val="18"/>
          <w:szCs w:val="18"/>
          <w:color w:val="auto"/>
        </w:rPr>
        <w:t>.</w:t>
      </w:r>
    </w:p>
    <w:p>
      <w:pPr>
        <w:spacing w:after="0" w:line="96" w:lineRule="exact"/>
        <w:rPr>
          <w:sz w:val="20"/>
          <w:szCs w:val="20"/>
          <w:color w:val="auto"/>
        </w:rPr>
      </w:pPr>
    </w:p>
    <w:p>
      <w:pPr>
        <w:ind w:left="1740" w:hanging="248"/>
        <w:spacing w:after="0"/>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hereby represents and warrants to the Manager as follows:</w:t>
      </w:r>
    </w:p>
    <w:p>
      <w:pPr>
        <w:spacing w:after="0" w:line="90" w:lineRule="exact"/>
        <w:rPr>
          <w:rFonts w:ascii="Arial" w:cs="Arial" w:eastAsia="Arial" w:hAnsi="Arial"/>
          <w:sz w:val="18"/>
          <w:szCs w:val="18"/>
          <w:color w:val="auto"/>
        </w:rPr>
      </w:pPr>
    </w:p>
    <w:p>
      <w:pPr>
        <w:ind w:left="460" w:right="140" w:firstLine="443"/>
        <w:spacing w:after="0" w:line="294" w:lineRule="auto"/>
        <w:tabs>
          <w:tab w:leader="none" w:pos="11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is duly organized, validly existing and in good standing under the laws of the State of Delaware, has the corporate power and authority and the legal right to own and operate its assets, to lease any property it may operate as lessee and to conduct the business in which it is now engaged and is duly qualified as a foreign corporation and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the Company.</w:t>
      </w:r>
    </w:p>
    <w:p>
      <w:pPr>
        <w:spacing w:after="0" w:line="34" w:lineRule="exact"/>
        <w:rPr>
          <w:rFonts w:ascii="Arial" w:cs="Arial" w:eastAsia="Arial" w:hAnsi="Arial"/>
          <w:sz w:val="16"/>
          <w:szCs w:val="16"/>
          <w:color w:val="auto"/>
        </w:rPr>
      </w:pPr>
    </w:p>
    <w:p>
      <w:pPr>
        <w:ind w:left="460" w:right="60" w:firstLine="443"/>
        <w:spacing w:after="0" w:line="259" w:lineRule="auto"/>
        <w:tabs>
          <w:tab w:leader="none" w:pos="11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and the legal right to make, deliver and perform this Agreement and all obligations required hereunder and has taken all necessary corporate action to authorize this Agreement on the terms and conditions hereof and the execution, delivery and performance of this Agreement and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8" w:name="page59"/>
    <w:bookmarkEnd w:id="5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required hereunder. No consent of any other Person, including stockholders and creditors of the Company, and no license, permit, approval or authorization of, exemption by, notice or report to, or registration, filing or declaration with, any governmental authority is required by the Company in connection with this Agreement or the execution, delivery, performance, validity or enforceability of this Agreement and all obligations required hereunder. This Agreement has been, and each instrument or document required hereunder will be, executed and delivered by a duly authorized officer of the Company, and this Agreement constitutes, and each instrument or document required hereunder when executed and delivered hereunder will constitute, the legally valid and binding obligation of the Company enforceable against the Company in accordance with its terms.</w:t>
      </w:r>
    </w:p>
    <w:p>
      <w:pPr>
        <w:spacing w:after="0" w:line="39" w:lineRule="exact"/>
        <w:rPr>
          <w:sz w:val="20"/>
          <w:szCs w:val="20"/>
          <w:color w:val="auto"/>
        </w:rPr>
      </w:pPr>
    </w:p>
    <w:p>
      <w:pPr>
        <w:ind w:right="60" w:firstLine="443"/>
        <w:spacing w:after="0" w:line="290" w:lineRule="auto"/>
        <w:tabs>
          <w:tab w:leader="none" w:pos="7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documents or instruments required hereunder will not violate any provision of any existing law or regulation binding on the Company, or any order, judgment, award or decree of any court, arbitrator or governmental authority binding on the Company, or the Governing Instruments of, or any securities issued by the Company or of any mortgage, indenture, lease, contract or other agreement, instrument or undertaking to which the Company is a party or by which the Company or any of its assets may be bound, the violation of which would have a material adverse effect on the business operations, assets or financial condition of the Company and its Subsidiaries, if any, taken as a whole, and will not result in, or require, the creation or imposition of any lien or any of its property, assets or revenues pursuant to the provisions of any such mortgage, indenture, lease, contract or other agreement, instrument or undertaking.</w:t>
      </w:r>
    </w:p>
    <w:p>
      <w:pPr>
        <w:spacing w:after="0" w:line="118" w:lineRule="exact"/>
        <w:rPr>
          <w:sz w:val="20"/>
          <w:szCs w:val="20"/>
          <w:color w:val="auto"/>
        </w:rPr>
      </w:pPr>
    </w:p>
    <w:p>
      <w:pPr>
        <w:ind w:left="1280" w:hanging="248"/>
        <w:spacing w:after="0"/>
        <w:tabs>
          <w:tab w:leader="none" w:pos="12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Manager hereby represents and warrants to the Company as follows:</w:t>
      </w:r>
    </w:p>
    <w:p>
      <w:pPr>
        <w:spacing w:after="0" w:line="90" w:lineRule="exact"/>
        <w:rPr>
          <w:rFonts w:ascii="Arial" w:cs="Arial" w:eastAsia="Arial" w:hAnsi="Arial"/>
          <w:sz w:val="18"/>
          <w:szCs w:val="18"/>
          <w:color w:val="auto"/>
        </w:rPr>
      </w:pPr>
    </w:p>
    <w:p>
      <w:pPr>
        <w:ind w:right="200" w:firstLine="443"/>
        <w:spacing w:after="0" w:line="294" w:lineRule="auto"/>
        <w:tabs>
          <w:tab w:leader="none" w:pos="6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Manager is duly organized, validly existing and in good standing under the laws of the State of Delaware, has the limited liability company power and authority and the legal right to own and operate its assets, to lease the property it operates as lessee and to conduct the business in which it is now engaged and is duly qualified as a foreign corporation and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the Manager.</w:t>
      </w:r>
    </w:p>
    <w:p>
      <w:pPr>
        <w:spacing w:after="0" w:line="34" w:lineRule="exact"/>
        <w:rPr>
          <w:rFonts w:ascii="Arial" w:cs="Arial" w:eastAsia="Arial" w:hAnsi="Arial"/>
          <w:sz w:val="16"/>
          <w:szCs w:val="16"/>
          <w:color w:val="auto"/>
        </w:rPr>
      </w:pPr>
    </w:p>
    <w:p>
      <w:pPr>
        <w:ind w:right="320" w:firstLine="443"/>
        <w:spacing w:after="0" w:line="256" w:lineRule="auto"/>
        <w:tabs>
          <w:tab w:leader="none" w:pos="6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Manager has the limited liability company power and authority and the legal right to make, deliver and perform this Agreement and all obligations required hereunder and has taken all necessary corporate action to authorize this Agreement on the terms and conditions hereof and the execution, delivery and performance of this Agreement and all obligations required hereunder. No consent of any other Person, including members and creditors of the Manager, and no license, permit, approval or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59" w:name="page60"/>
    <w:bookmarkEnd w:id="5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authorization of, exemption by, notice or report to, or registration, filing or declaration with, any governmental authority is required by the Manager in connection with this Agreement or the execution, delivery, performance, validity or enforceability of this Agreement and all obligations required hereunder. This Agreement has been, and each instrument or document required hereunder will be, executed and delivered by a duly authorized officer of the Manager, and this Agreement constitutes, and each instrument or document required hereunder when executed and delivered hereunder will constitute, the legally valid and binding obligation of the Manager enforceable against the Manager in accordance with its terms.</w:t>
      </w:r>
    </w:p>
    <w:p>
      <w:pPr>
        <w:spacing w:after="0" w:line="35" w:lineRule="exact"/>
        <w:rPr>
          <w:sz w:val="20"/>
          <w:szCs w:val="20"/>
          <w:color w:val="auto"/>
        </w:rPr>
      </w:pPr>
    </w:p>
    <w:p>
      <w:pPr>
        <w:ind w:right="80" w:firstLine="443"/>
        <w:spacing w:after="0" w:line="290" w:lineRule="auto"/>
        <w:tabs>
          <w:tab w:leader="none" w:pos="7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documents or instruments required hereunder will not violate any provision of any existing law or regulation binding on the Manager, or any order, judgment, award or decree of any court, arbitrator or governmental authority binding on the Manager, or the Governing Instruments of, or any securities issued by the Manager or of any mortgage, indenture, lease, contract or other agreement, instrument or undertaking to which the Manager is a party or by which the Manager or any of its assets may be bound, the violation of which would have a material adverse effect on the business operations, assets or financial condition of the Manager, and will not result in, or require, the creation or imposition of any lien or any of its property, assets or revenues pursuant to the provisions of any such mortgage, indenture, lease, contract or other agreement, instrument or undertaking.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Miscellaneous</w:t>
      </w:r>
      <w:r>
        <w:rPr>
          <w:rFonts w:ascii="Arial" w:cs="Arial" w:eastAsia="Arial" w:hAnsi="Arial"/>
          <w:sz w:val="18"/>
          <w:szCs w:val="18"/>
          <w:color w:val="auto"/>
        </w:rPr>
        <w:t>.</w:t>
      </w:r>
    </w:p>
    <w:p>
      <w:pPr>
        <w:spacing w:after="0" w:line="96" w:lineRule="exact"/>
        <w:rPr>
          <w:sz w:val="20"/>
          <w:szCs w:val="20"/>
          <w:color w:val="auto"/>
        </w:rPr>
      </w:pPr>
    </w:p>
    <w:p>
      <w:pPr>
        <w:ind w:left="-460" w:right="40" w:firstLine="1492"/>
        <w:spacing w:after="0" w:line="255" w:lineRule="auto"/>
        <w:tabs>
          <w:tab w:leader="none" w:pos="1262"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demands to or upon the respective parties hereto to be effective shall be in writing (including by</w:t>
      </w:r>
      <w:r>
        <w:rPr>
          <w:rFonts w:ascii="Arial" w:cs="Arial" w:eastAsia="Arial" w:hAnsi="Arial"/>
          <w:sz w:val="18"/>
          <w:szCs w:val="18"/>
          <w:i w:val="1"/>
          <w:iCs w:val="1"/>
          <w:color w:val="auto"/>
        </w:rPr>
        <w:t xml:space="preserve"> </w:t>
      </w:r>
      <w:r>
        <w:rPr>
          <w:rFonts w:ascii="Arial" w:cs="Arial" w:eastAsia="Arial" w:hAnsi="Arial"/>
          <w:sz w:val="18"/>
          <w:szCs w:val="18"/>
          <w:color w:val="auto"/>
        </w:rPr>
        <w:t>telecopy), and, unless otherwise expressly provided herein, shall be deemed to have been duly given or made when delivered against receipt or upon actual receipt of (i) personal delivery, (ii) delivery by reputable overnight courier, (iii) delivery by facsimile transmission with telephonic confirmation or (iv) delivery by registered or certified mail, postage prepaid, return receipt requested, addressed as set forth below (or to such other address as may be hereafter notified by the respective parties hereto in accordance with this Section 16):</w:t>
      </w:r>
    </w:p>
    <w:p>
      <w:pPr>
        <w:sectPr>
          <w:pgSz w:w="11900" w:h="16838" w:orient="portrait"/>
          <w:cols w:equalWidth="0" w:num="1">
            <w:col w:w="10940"/>
          </w:cols>
          <w:pgMar w:left="700" w:top="280" w:right="25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American Capital Agency Corp.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 Bethesda Metro Center, 14</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301-968-9301</w:t>
      </w:r>
    </w:p>
    <w:p>
      <w:pPr>
        <w:spacing w:after="0" w:line="124" w:lineRule="exact"/>
        <w:rPr>
          <w:sz w:val="20"/>
          <w:szCs w:val="20"/>
          <w:color w:val="auto"/>
        </w:rPr>
      </w:pPr>
    </w:p>
    <w:p>
      <w:pPr>
        <w:sectPr>
          <w:pgSz w:w="11900" w:h="16838" w:orient="portrait"/>
          <w:cols w:equalWidth="0" w:num="2">
            <w:col w:w="1400" w:space="720"/>
            <w:col w:w="8820"/>
          </w:cols>
          <w:pgMar w:left="70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J. Goldschmidt,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735-2000</w:t>
      </w:r>
    </w:p>
    <w:p>
      <w:pPr>
        <w:spacing w:after="0" w:line="165" w:lineRule="exact"/>
        <w:rPr>
          <w:sz w:val="20"/>
          <w:szCs w:val="20"/>
          <w:color w:val="auto"/>
        </w:rPr>
      </w:pPr>
    </w:p>
    <w:p>
      <w:pPr>
        <w:sectPr>
          <w:pgSz w:w="11900" w:h="16838" w:orient="portrait"/>
          <w:cols w:equalWidth="0" w:num="2">
            <w:col w:w="1400" w:space="720"/>
            <w:col w:w="8820"/>
          </w:cols>
          <w:pgMar w:left="700" w:top="280" w:right="259" w:bottom="1440" w:gutter="0" w:footer="0" w:header="0"/>
          <w:type w:val="continuous"/>
        </w:sectPr>
      </w:pPr>
    </w:p>
    <w:p>
      <w:pPr>
        <w:jc w:val="center"/>
        <w:ind w:right="4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40"/>
          </w:cols>
          <w:pgMar w:left="700" w:top="280" w:right="259" w:bottom="1440" w:gutter="0" w:footer="0" w:header="0"/>
          <w:type w:val="continuous"/>
        </w:sectPr>
      </w:pPr>
    </w:p>
    <w:bookmarkStart w:id="60" w:name="page61"/>
    <w:bookmarkEnd w:id="60"/>
    <w:p>
      <w:pPr>
        <w:ind w:left="440"/>
        <w:spacing w:after="0"/>
        <w:rPr>
          <w:sz w:val="20"/>
          <w:szCs w:val="20"/>
          <w:color w:val="auto"/>
        </w:rPr>
      </w:pPr>
      <w:r>
        <w:rPr>
          <w:rFonts w:ascii="Arial" w:cs="Arial" w:eastAsia="Arial" w:hAnsi="Arial"/>
          <w:sz w:val="16"/>
          <w:szCs w:val="16"/>
          <w:color w:val="auto"/>
        </w:rPr>
        <w:t>The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Capital Agency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-205105</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 American Capital Strategies,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Bethesda Metro Center, 14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301-951-5651</w:t>
      </w:r>
    </w:p>
    <w:p>
      <w:pPr>
        <w:spacing w:after="0" w:line="124" w:lineRule="exact"/>
        <w:rPr>
          <w:sz w:val="20"/>
          <w:szCs w:val="20"/>
          <w:color w:val="auto"/>
        </w:rPr>
      </w:pPr>
    </w:p>
    <w:p>
      <w:pPr>
        <w:sectPr>
          <w:pgSz w:w="11900" w:h="16838" w:orient="portrait"/>
          <w:cols w:equalWidth="0" w:num="2">
            <w:col w:w="1840" w:space="720"/>
            <w:col w:w="8840"/>
          </w:cols>
          <w:pgMar w:left="260" w:top="280" w:right="239" w:bottom="1440" w:gutter="0" w:footer="0" w:header="0"/>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J. Goldschmidt,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735-2000</w:t>
      </w:r>
    </w:p>
    <w:p>
      <w:pPr>
        <w:spacing w:after="0" w:line="178" w:lineRule="exact"/>
        <w:rPr>
          <w:sz w:val="20"/>
          <w:szCs w:val="20"/>
          <w:color w:val="auto"/>
        </w:rPr>
      </w:pPr>
    </w:p>
    <w:p>
      <w:pPr>
        <w:sectPr>
          <w:pgSz w:w="11900" w:h="16838" w:orient="portrait"/>
          <w:cols w:equalWidth="0" w:num="2">
            <w:col w:w="1840" w:space="720"/>
            <w:col w:w="8840"/>
          </w:cols>
          <w:pgMar w:left="260" w:top="280" w:right="239" w:bottom="1440" w:gutter="0" w:footer="0" w:header="0"/>
          <w:type w:val="continuous"/>
        </w:sectPr>
      </w:pPr>
    </w:p>
    <w:p>
      <w:pPr>
        <w:ind w:left="-20" w:right="440" w:firstLine="1492"/>
        <w:spacing w:after="0" w:line="268" w:lineRule="auto"/>
        <w:tabs>
          <w:tab w:leader="none" w:pos="171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Binding Nature of Agreement; Successors and Assigns</w:t>
      </w:r>
      <w:r>
        <w:rPr>
          <w:rFonts w:ascii="Arial" w:cs="Arial" w:eastAsia="Arial" w:hAnsi="Arial"/>
          <w:sz w:val="18"/>
          <w:szCs w:val="18"/>
          <w:color w:val="auto"/>
        </w:rPr>
        <w:t>. This Agreement shall be binding upon and inure to the benefit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and their respective heirs, personal representatives, successors and assigns as provided herein.</w:t>
      </w:r>
    </w:p>
    <w:p>
      <w:pPr>
        <w:spacing w:after="0" w:line="131" w:lineRule="exact"/>
        <w:rPr>
          <w:rFonts w:ascii="Arial" w:cs="Arial" w:eastAsia="Arial" w:hAnsi="Arial"/>
          <w:sz w:val="18"/>
          <w:szCs w:val="18"/>
          <w:color w:val="auto"/>
        </w:rPr>
      </w:pPr>
    </w:p>
    <w:p>
      <w:pPr>
        <w:jc w:val="both"/>
        <w:ind w:left="-20" w:right="80" w:firstLine="1492"/>
        <w:spacing w:after="0" w:line="256" w:lineRule="auto"/>
        <w:tabs>
          <w:tab w:leader="none" w:pos="170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Integration</w:t>
      </w:r>
      <w:r>
        <w:rPr>
          <w:rFonts w:ascii="Arial" w:cs="Arial" w:eastAsia="Arial" w:hAnsi="Arial"/>
          <w:sz w:val="18"/>
          <w:szCs w:val="18"/>
          <w:color w:val="auto"/>
        </w:rPr>
        <w:t>. This Agreement contains the entire agreement and understanding among the parties hereto with respect to the subject matter</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and/or usage of the trade inconsistent with any of the terms hereof.</w:t>
      </w:r>
    </w:p>
    <w:p>
      <w:pPr>
        <w:spacing w:after="0" w:line="143" w:lineRule="exact"/>
        <w:rPr>
          <w:rFonts w:ascii="Arial" w:cs="Arial" w:eastAsia="Arial" w:hAnsi="Arial"/>
          <w:sz w:val="18"/>
          <w:szCs w:val="18"/>
          <w:color w:val="auto"/>
        </w:rPr>
      </w:pPr>
    </w:p>
    <w:p>
      <w:pPr>
        <w:ind w:left="-20" w:right="120" w:firstLine="1492"/>
        <w:spacing w:after="0" w:line="268" w:lineRule="auto"/>
        <w:tabs>
          <w:tab w:leader="none" w:pos="171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This Agreement, nor any terms hereof, may not be amended, supplemented or modified except in an instrument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the parties hereto.</w:t>
      </w:r>
    </w:p>
    <w:p>
      <w:pPr>
        <w:spacing w:after="0" w:line="131" w:lineRule="exact"/>
        <w:rPr>
          <w:rFonts w:ascii="Arial" w:cs="Arial" w:eastAsia="Arial" w:hAnsi="Arial"/>
          <w:sz w:val="18"/>
          <w:szCs w:val="18"/>
          <w:color w:val="auto"/>
        </w:rPr>
      </w:pPr>
    </w:p>
    <w:p>
      <w:pPr>
        <w:ind w:left="-20" w:firstLine="1492"/>
        <w:spacing w:after="0" w:line="291" w:lineRule="auto"/>
        <w:tabs>
          <w:tab w:leader="none" w:pos="17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GOVERNING LAW. THIS AGREEMENT AND THE RIGHTS AND OBLIGATIONS OF THE PARTIES UNDER THIS AGREEMENT SHALL BE GOVERNED BY, AND CONSTRUED AND INTERPRETED IN ACCORDANCE WITH, THE LAW OF THE STATE OF NEW YORK, WITHOUT REGARD TO PRINCIPLES OF CONFLICTS OF LAW. EACH OF THE PARTIES HERETO IRREVOCABLY SUBMITS TO THE EXCLUSIVE JURISDICTION OF THE COURTS OF THE STATE OF NEW YORK AND THE UNITED STATES DISTRICT COURT FOR ANY DISTRICT WITHIN SUCH STATE FOR THE PURPOSE OF ANY ACTION OR JUDGMENT RELATING TO OR ARISING OUT OF THIS AGREEMENT OR ANY OF THE TRANSACTIONS CONTEMPLATED HEREBY AND TO THE LAYING OF VENUE IN SUCH COURT.</w:t>
      </w:r>
    </w:p>
    <w:p>
      <w:pPr>
        <w:spacing w:after="0" w:line="120" w:lineRule="exact"/>
        <w:rPr>
          <w:rFonts w:ascii="Arial" w:cs="Arial" w:eastAsia="Arial" w:hAnsi="Arial"/>
          <w:sz w:val="16"/>
          <w:szCs w:val="16"/>
          <w:color w:val="auto"/>
        </w:rPr>
      </w:pPr>
    </w:p>
    <w:p>
      <w:pPr>
        <w:ind w:left="-20" w:right="280" w:firstLine="1492"/>
        <w:spacing w:after="0" w:line="259" w:lineRule="auto"/>
        <w:tabs>
          <w:tab w:leader="none" w:pos="168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WAIVER OF JURY TRIAL. EACH PARTY HERETO ACKNOWLEDGES AND AGREES THAT ANY CONTROVERSY WHICH MAY ARISE UNDER THIS AGREEMENT IS LIKELY TO INVOLVE COMPLICATED AND DIFFICULT ISSUES, AND, THEREFORE, EACH SUCH PARTY HEREBY IRREVOCABLY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type w:val="continuous"/>
        </w:sectPr>
      </w:pPr>
    </w:p>
    <w:bookmarkStart w:id="61" w:name="page62"/>
    <w:bookmarkEnd w:id="61"/>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40" w:lineRule="exact"/>
        <w:rPr>
          <w:sz w:val="20"/>
          <w:szCs w:val="20"/>
          <w:color w:val="auto"/>
        </w:rPr>
      </w:pPr>
    </w:p>
    <w:p>
      <w:pPr>
        <w:ind w:right="420" w:firstLine="1492"/>
        <w:spacing w:after="0" w:line="332"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Survival of Representations and Warranties</w:t>
      </w:r>
      <w:r>
        <w:rPr>
          <w:rFonts w:ascii="Arial" w:cs="Arial" w:eastAsia="Arial" w:hAnsi="Arial"/>
          <w:sz w:val="16"/>
          <w:szCs w:val="16"/>
          <w:color w:val="auto"/>
        </w:rPr>
        <w:t>. All representations and warranties made hereunder, and in any document, certificate or</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delivered pursuant hereto or in connection herewith shall survive the execution and delivery of this Agreement.</w:t>
      </w:r>
    </w:p>
    <w:p>
      <w:pPr>
        <w:spacing w:after="0" w:line="85" w:lineRule="exact"/>
        <w:rPr>
          <w:rFonts w:ascii="Arial" w:cs="Arial" w:eastAsia="Arial" w:hAnsi="Arial"/>
          <w:sz w:val="16"/>
          <w:szCs w:val="16"/>
          <w:color w:val="auto"/>
        </w:rPr>
      </w:pPr>
    </w:p>
    <w:p>
      <w:pPr>
        <w:ind w:right="20" w:firstLine="1492"/>
        <w:spacing w:after="0" w:line="298"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No Waiver; Cumulative Remedies</w:t>
      </w:r>
      <w:r>
        <w:rPr>
          <w:rFonts w:ascii="Arial" w:cs="Arial" w:eastAsia="Arial" w:hAnsi="Arial"/>
          <w:sz w:val="16"/>
          <w:szCs w:val="16"/>
          <w:color w:val="auto"/>
        </w:rPr>
        <w:t>. No failure to exercise and no delay in exercising, on the part of a party hereto, any right, remedy,</w:t>
      </w:r>
      <w:r>
        <w:rPr>
          <w:rFonts w:ascii="Arial" w:cs="Arial" w:eastAsia="Arial" w:hAnsi="Arial"/>
          <w:sz w:val="16"/>
          <w:szCs w:val="16"/>
          <w:i w:val="1"/>
          <w:iCs w:val="1"/>
          <w:color w:val="auto"/>
        </w:rPr>
        <w:t xml:space="preserve"> </w:t>
      </w:r>
      <w:r>
        <w:rPr>
          <w:rFonts w:ascii="Arial" w:cs="Arial" w:eastAsia="Arial" w:hAnsi="Arial"/>
          <w:sz w:val="16"/>
          <w:szCs w:val="16"/>
          <w:color w:val="auto"/>
        </w:rPr>
        <w:t>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12" w:lineRule="exact"/>
        <w:rPr>
          <w:rFonts w:ascii="Arial" w:cs="Arial" w:eastAsia="Arial" w:hAnsi="Arial"/>
          <w:sz w:val="16"/>
          <w:szCs w:val="16"/>
          <w:color w:val="auto"/>
        </w:rPr>
      </w:pPr>
    </w:p>
    <w:p>
      <w:pPr>
        <w:ind w:right="560" w:firstLine="1492"/>
        <w:spacing w:after="0" w:line="332" w:lineRule="auto"/>
        <w:tabs>
          <w:tab w:leader="none" w:pos="1693"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 Each party hereto shall bear its own costs and expenses (including the fees and disbursements of counsel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accountants) incurred in connection with the negotiations and preparation of and the closing under this Agreement, and all matter incident thereto.</w:t>
      </w:r>
    </w:p>
    <w:p>
      <w:pPr>
        <w:spacing w:after="0" w:line="85" w:lineRule="exact"/>
        <w:rPr>
          <w:rFonts w:ascii="Arial" w:cs="Arial" w:eastAsia="Arial" w:hAnsi="Arial"/>
          <w:sz w:val="16"/>
          <w:szCs w:val="16"/>
          <w:color w:val="auto"/>
        </w:rPr>
      </w:pPr>
    </w:p>
    <w:p>
      <w:pPr>
        <w:ind w:right="100" w:firstLine="1492"/>
        <w:spacing w:after="0" w:line="268" w:lineRule="auto"/>
        <w:tabs>
          <w:tab w:leader="none" w:pos="169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Section Headings</w:t>
      </w:r>
      <w:r>
        <w:rPr>
          <w:rFonts w:ascii="Arial" w:cs="Arial" w:eastAsia="Arial" w:hAnsi="Arial"/>
          <w:sz w:val="18"/>
          <w:szCs w:val="18"/>
          <w:color w:val="auto"/>
        </w:rPr>
        <w:t>. The section and subsection headings in this Agreement are for convenience in reference only and shall not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alter or affect the interpretation of any provisions hereof.</w:t>
      </w:r>
    </w:p>
    <w:p>
      <w:pPr>
        <w:spacing w:after="0" w:line="131" w:lineRule="exact"/>
        <w:rPr>
          <w:rFonts w:ascii="Arial" w:cs="Arial" w:eastAsia="Arial" w:hAnsi="Arial"/>
          <w:sz w:val="18"/>
          <w:szCs w:val="18"/>
          <w:color w:val="auto"/>
        </w:rPr>
      </w:pPr>
    </w:p>
    <w:p>
      <w:pPr>
        <w:ind w:right="180" w:firstLine="1492"/>
        <w:spacing w:after="0" w:line="268" w:lineRule="auto"/>
        <w:tabs>
          <w:tab w:leader="none" w:pos="173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to this Agreement on any number of separate counterparts (including by</w:t>
      </w:r>
      <w:r>
        <w:rPr>
          <w:rFonts w:ascii="Arial" w:cs="Arial" w:eastAsia="Arial" w:hAnsi="Arial"/>
          <w:sz w:val="18"/>
          <w:szCs w:val="18"/>
          <w:i w:val="1"/>
          <w:iCs w:val="1"/>
          <w:color w:val="auto"/>
        </w:rPr>
        <w:t xml:space="preserve"> </w:t>
      </w:r>
      <w:r>
        <w:rPr>
          <w:rFonts w:ascii="Arial" w:cs="Arial" w:eastAsia="Arial" w:hAnsi="Arial"/>
          <w:sz w:val="18"/>
          <w:szCs w:val="18"/>
          <w:color w:val="auto"/>
        </w:rPr>
        <w:t>telecopy), and all of said counterparts taken together shall be deemed to constitute one and the same instrument.</w:t>
      </w:r>
    </w:p>
    <w:p>
      <w:pPr>
        <w:spacing w:after="0" w:line="131" w:lineRule="exact"/>
        <w:rPr>
          <w:rFonts w:ascii="Arial" w:cs="Arial" w:eastAsia="Arial" w:hAnsi="Arial"/>
          <w:sz w:val="18"/>
          <w:szCs w:val="18"/>
          <w:color w:val="auto"/>
        </w:rPr>
      </w:pPr>
    </w:p>
    <w:p>
      <w:pPr>
        <w:ind w:firstLine="1492"/>
        <w:spacing w:after="0" w:line="259" w:lineRule="auto"/>
        <w:tabs>
          <w:tab w:leader="none" w:pos="169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Any provision of this Agreement which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hereto have executed this Management Agreement as of the date first written above.</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American Capital Agency Corp.</w:t>
      </w:r>
    </w:p>
    <w:p>
      <w:pPr>
        <w:spacing w:after="0" w:line="231"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A. Flax</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Samuel A. Flax</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Secretary</w:t>
            </w:r>
          </w:p>
        </w:tc>
      </w:tr>
    </w:tbl>
    <w:p>
      <w:pPr>
        <w:spacing w:after="0" w:line="19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American Capital Agency Management, LLC</w:t>
      </w:r>
    </w:p>
    <w:p>
      <w:pPr>
        <w:spacing w:after="0" w:line="231"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A. Flax</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Samuel A. Flax</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4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00"/>
          </w:cols>
          <w:pgMar w:left="116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Investment Guidelines</w:t>
      </w:r>
    </w:p>
    <w:p>
      <w:pPr>
        <w:spacing w:after="0" w:line="171"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Capitalized terms used but not defined herein shall have the meanings ascribed thereto in that certain Management Agreement, dated as of May 20, 2008, as may be amended from time to time (the “Management Agreement”), by and between American Capital Agency Corp. (the “</w:t>
      </w:r>
      <w:r>
        <w:rPr>
          <w:rFonts w:ascii="Arial" w:cs="Arial" w:eastAsia="Arial" w:hAnsi="Arial"/>
          <w:sz w:val="18"/>
          <w:szCs w:val="18"/>
          <w:i w:val="1"/>
          <w:iCs w:val="1"/>
          <w:color w:val="auto"/>
        </w:rPr>
        <w:t>Company</w:t>
      </w:r>
      <w:r>
        <w:rPr>
          <w:rFonts w:ascii="Arial" w:cs="Arial" w:eastAsia="Arial" w:hAnsi="Arial"/>
          <w:sz w:val="18"/>
          <w:szCs w:val="18"/>
          <w:color w:val="auto"/>
        </w:rPr>
        <w:t>”) and American Capital Agency Management, LLC (the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ind w:left="1100" w:hanging="179"/>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not make any investments other than investments in Agency Securities.</w:t>
      </w:r>
    </w:p>
    <w:p>
      <w:pPr>
        <w:spacing w:after="0" w:line="171" w:lineRule="exact"/>
        <w:rPr>
          <w:rFonts w:ascii="Arial" w:cs="Arial" w:eastAsia="Arial" w:hAnsi="Arial"/>
          <w:sz w:val="18"/>
          <w:szCs w:val="18"/>
          <w:color w:val="auto"/>
        </w:rPr>
      </w:pPr>
    </w:p>
    <w:p>
      <w:pPr>
        <w:jc w:val="both"/>
        <w:ind w:right="120" w:firstLine="921"/>
        <w:spacing w:after="0" w:line="306" w:lineRule="auto"/>
        <w:tabs>
          <w:tab w:leader="none" w:pos="10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Company’s leverage may not exceed 10 times its stockholders’ equity (as computed in accordance with GAAP) (the “Leverage Threshold.”) In the event that the Company’s leverage inadvertently exceeds the Leverage Threshold, the Company may not utilize additional leverage without prior approval from the Board of Directors until the Company is once again in compliance with the Leverage Threshold.</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investment shall be made that would cause the Company to fail to qualify as a REIT under the Code.</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investment shall be made that would cause the Company to be regulated as an investment company under the Investment Company Act.</w:t>
      </w:r>
    </w:p>
    <w:p>
      <w:pPr>
        <w:spacing w:after="0" w:line="194" w:lineRule="exact"/>
        <w:rPr>
          <w:rFonts w:ascii="Arial" w:cs="Arial" w:eastAsia="Arial" w:hAnsi="Arial"/>
          <w:sz w:val="16"/>
          <w:szCs w:val="16"/>
          <w:color w:val="auto"/>
        </w:rPr>
      </w:pPr>
    </w:p>
    <w:p>
      <w:pPr>
        <w:ind w:firstLine="921"/>
        <w:spacing w:after="0" w:line="268"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majority of the Independent Directors must approve any transaction between the Company and/or any of its subsidiaries on the one hand and the Manager and/or any of its Affiliates (including, but not limited to American Capital) on the other hand.</w:t>
      </w:r>
    </w:p>
    <w:p>
      <w:pPr>
        <w:spacing w:after="0" w:line="13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These Investment Guidelines may be amended, restated, modified, supplemented or waived by the Board of Directors (which must include a majority of the Independent Directors) without the approval of the Company’s stockholders.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2"/>
      <w:numFmt w:val="bullet"/>
      <w:start w:val="1"/>
    </w:lvl>
    <w:lvl w:ilvl="1">
      <w:lvlJc w:val="left"/>
      <w:lvlText w:val="(%2)"/>
      <w:numFmt w:val="lowerLetter"/>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lowerLetter"/>
      <w:start w:val="3"/>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lowerLetter"/>
      <w:start w:val="2"/>
    </w:lvl>
  </w:abstractNum>
  <w:abstractNum w:abstractNumId="7">
    <w:nsid w:val="3804823E"/>
    <w:multiLevelType w:val="hybridMultilevel"/>
    <w:lvl w:ilvl="0">
      <w:lvlJc w:val="left"/>
      <w:lvlText w:val="(%1)"/>
      <w:numFmt w:val="lowerLetter"/>
      <w:start w:val="3"/>
    </w:lvl>
  </w:abstractNum>
  <w:abstractNum w:abstractNumId="8">
    <w:nsid w:val="77465F01"/>
    <w:multiLevelType w:val="hybridMultilevel"/>
    <w:lvl w:ilvl="0">
      <w:lvlJc w:val="left"/>
      <w:lvlText w:val="(%1)"/>
      <w:numFmt w:val="lowerRoman"/>
      <w:start w:val="1"/>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lowerLetter"/>
      <w:start w:val="2"/>
    </w:lvl>
  </w:abstractNum>
  <w:abstractNum w:abstractNumId="11">
    <w:nsid w:val="2463B9EA"/>
    <w:multiLevelType w:val="hybridMultilevel"/>
    <w:lvl w:ilvl="0">
      <w:lvlJc w:val="left"/>
      <w:lvlText w:val="(%1)"/>
      <w:numFmt w:val="lowerLetter"/>
      <w:start w:val="4"/>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decimal"/>
      <w:start w:val="180"/>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1"/>
    </w:lvl>
    <w:lvl w:ilvl="1">
      <w:lvlJc w:val="left"/>
      <w:lvlText w:val="(%2)"/>
      <w:numFmt w:val="lowerLetter"/>
      <w:start w:val="3"/>
    </w:lvl>
  </w:abstractNum>
  <w:abstractNum w:abstractNumId="16">
    <w:nsid w:val="153EA438"/>
    <w:multiLevelType w:val="hybridMultilevel"/>
    <w:lvl w:ilvl="0">
      <w:lvlJc w:val="left"/>
      <w:lvlText w:val="(%1)"/>
      <w:numFmt w:val="lowerLetter"/>
      <w:start w:val="9"/>
    </w:lvl>
    <w:lvl w:ilvl="1">
      <w:lvlJc w:val="left"/>
      <w:lvlText w:val="(%2)"/>
      <w:numFmt w:val="lowerLetter"/>
      <w:start w:val="5"/>
    </w:lvl>
  </w:abstractNum>
  <w:abstractNum w:abstractNumId="17">
    <w:nsid w:val="3855585C"/>
    <w:multiLevelType w:val="hybridMultilevel"/>
    <w:lvl w:ilvl="0">
      <w:lvlJc w:val="left"/>
      <w:lvlText w:val="(%1)"/>
      <w:numFmt w:val="lowerLetter"/>
      <w:start w:val="8"/>
    </w:lvl>
  </w:abstractNum>
  <w:abstractNum w:abstractNumId="18">
    <w:nsid w:val="70A64E2A"/>
    <w:multiLevelType w:val="hybridMultilevel"/>
    <w:lvl w:ilvl="0">
      <w:lvlJc w:val="left"/>
      <w:lvlText w:val="(%1)"/>
      <w:numFmt w:val="lowerLetter"/>
      <w:start w:val="14"/>
    </w:lvl>
    <w:lvl w:ilvl="1">
      <w:lvlJc w:val="left"/>
      <w:lvlText w:val="(%2)"/>
      <w:numFmt w:val="lowerRoman"/>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3"/>
    </w:lvl>
  </w:abstractNum>
  <w:abstractNum w:abstractNumId="22">
    <w:nsid w:val="725A06FB"/>
    <w:multiLevelType w:val="hybridMultilevel"/>
    <w:lvl w:ilvl="0">
      <w:lvlJc w:val="left"/>
      <w:lvlText w:val="(%1)"/>
      <w:numFmt w:val="lowerLetter"/>
      <w:start w:val="2"/>
    </w:lvl>
  </w:abstractNum>
  <w:abstractNum w:abstractNumId="23">
    <w:nsid w:val="2CD89A32"/>
    <w:multiLevelType w:val="hybridMultilevel"/>
    <w:lvl w:ilvl="0">
      <w:lvlJc w:val="left"/>
      <w:lvlText w:val="(%1)"/>
      <w:numFmt w:val="lowerLetter"/>
      <w:start w:val="8"/>
    </w:lvl>
  </w:abstractNum>
  <w:abstractNum w:abstractNumId="24">
    <w:nsid w:val="57E4CCAF"/>
    <w:multiLevelType w:val="hybridMultilevel"/>
    <w:lvl w:ilvl="0">
      <w:lvlJc w:val="left"/>
      <w:lvlText w:val="(%1)"/>
      <w:numFmt w:val="lowerLetter"/>
      <w:start w:val="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upperLetter"/>
      <w:start w:val="1"/>
    </w:lvl>
    <w:lvl w:ilvl="1">
      <w:lvlJc w:val="left"/>
      <w:lvlText w:val="(%2)"/>
      <w:numFmt w:val="lowerRoman"/>
      <w:start w:val="1"/>
    </w:lvl>
  </w:abstractNum>
  <w:abstractNum w:abstractNumId="27">
    <w:nsid w:val="542289EC"/>
    <w:multiLevelType w:val="hybridMultilevel"/>
    <w:lvl w:ilvl="0">
      <w:lvlJc w:val="left"/>
      <w:lvlText w:val="(%1)"/>
      <w:numFmt w:val="upperLetter"/>
      <w:start w:val="3"/>
    </w:lvl>
    <w:lvl w:ilvl="1">
      <w:lvlJc w:val="left"/>
      <w:lvlText w:val="(%2)"/>
      <w:numFmt w:val="lowerRoman"/>
      <w:start w:val="2"/>
    </w:lvl>
  </w:abstractNum>
  <w:abstractNum w:abstractNumId="28">
    <w:nsid w:val="6DE91B18"/>
    <w:multiLevelType w:val="hybridMultilevel"/>
    <w:lvl w:ilvl="0">
      <w:lvlJc w:val="left"/>
      <w:lvlText w:val="(%1)"/>
      <w:numFmt w:val="lowerRoman"/>
      <w:start w:val="9"/>
    </w:lvl>
  </w:abstractNum>
  <w:abstractNum w:abstractNumId="29">
    <w:nsid w:val="38437FDB"/>
    <w:multiLevelType w:val="hybridMultilevel"/>
    <w:lvl w:ilvl="0">
      <w:lvlJc w:val="left"/>
      <w:lvlText w:val="(%1)"/>
      <w:numFmt w:val="lowerRoman"/>
      <w:start w:val="17"/>
    </w:lvl>
  </w:abstractNum>
  <w:abstractNum w:abstractNumId="30">
    <w:nsid w:val="7644A45C"/>
    <w:multiLevelType w:val="hybridMultilevel"/>
    <w:lvl w:ilvl="0">
      <w:lvlJc w:val="left"/>
      <w:lvlText w:val="(%1)"/>
      <w:numFmt w:val="lowerRoman"/>
      <w:start w:val="25"/>
    </w:lvl>
    <w:lvl w:ilvl="1">
      <w:lvlJc w:val="left"/>
      <w:lvlText w:val="(%2)"/>
      <w:numFmt w:val="lowerLetter"/>
      <w:start w:val="3"/>
    </w:lvl>
  </w:abstractNum>
  <w:abstractNum w:abstractNumId="31">
    <w:nsid w:val="32FFF902"/>
    <w:multiLevelType w:val="hybridMultilevel"/>
    <w:lvl w:ilvl="0">
      <w:lvlJc w:val="left"/>
      <w:lvlText w:val="%1"/>
      <w:numFmt w:val="lowerRoman"/>
      <w:start w:val="1"/>
    </w:lvl>
    <w:lvl w:ilvl="1">
      <w:lvlJc w:val="left"/>
      <w:lvlText w:val="(%2)"/>
      <w:numFmt w:val="lowerLetter"/>
      <w:start w:val="6"/>
    </w:lvl>
  </w:abstractNum>
  <w:abstractNum w:abstractNumId="32">
    <w:nsid w:val="684A481A"/>
    <w:multiLevelType w:val="hybridMultilevel"/>
    <w:lvl w:ilvl="0">
      <w:lvlJc w:val="left"/>
      <w:lvlText w:val="(%1)"/>
      <w:numFmt w:val="lowerRoman"/>
      <w:start w:val="2"/>
    </w:lvl>
    <w:lvl w:ilvl="1">
      <w:lvlJc w:val="left"/>
      <w:lvlText w:val="(%2)"/>
      <w:numFmt w:val="lowerLetter"/>
      <w:start w:val="7"/>
    </w:lvl>
  </w:abstractNum>
  <w:abstractNum w:abstractNumId="33">
    <w:nsid w:val="579478FE"/>
    <w:multiLevelType w:val="hybridMultilevel"/>
    <w:lvl w:ilvl="0">
      <w:lvlJc w:val="left"/>
      <w:lvlText w:val="(%1)"/>
      <w:numFmt w:val="lowerLetter"/>
      <w:start w:val="8"/>
    </w:lvl>
  </w:abstractNum>
  <w:abstractNum w:abstractNumId="34">
    <w:nsid w:val="749ABB43"/>
    <w:multiLevelType w:val="hybridMultilevel"/>
    <w:lvl w:ilvl="0">
      <w:lvlJc w:val="left"/>
      <w:lvlText w:val="(%1)"/>
      <w:numFmt w:val="lowerLetter"/>
      <w:start w:val="10"/>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1"/>
    </w:lvl>
    <w:lvl w:ilvl="1">
      <w:lvlJc w:val="left"/>
      <w:lvlText w:val="(%2)"/>
      <w:numFmt w:val="lowerLetter"/>
      <w:start w:val="2"/>
    </w:lvl>
  </w:abstractNum>
  <w:abstractNum w:abstractNumId="39">
    <w:nsid w:val="12E685FB"/>
    <w:multiLevelType w:val="hybridMultilevel"/>
    <w:lvl w:ilvl="0">
      <w:lvlJc w:val="left"/>
      <w:lvlText w:val="(%1)"/>
      <w:numFmt w:val="lowerLetter"/>
      <w:start w:val="61"/>
    </w:lvl>
    <w:lvl w:ilvl="1">
      <w:lvlJc w:val="left"/>
      <w:lvlText w:val="%2"/>
      <w:numFmt w:val="lowerLetter"/>
      <w:start w:val="1"/>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lowerRoman"/>
      <w:start w:val="1"/>
    </w:lvl>
  </w:abstractNum>
  <w:abstractNum w:abstractNumId="43">
    <w:nsid w:val="4F4EF005"/>
    <w:multiLevelType w:val="hybridMultilevel"/>
    <w:lvl w:ilvl="0">
      <w:lvlJc w:val="left"/>
      <w:lvlText w:val="%1"/>
      <w:numFmt w:val="upperLetter"/>
      <w:start w:val="1"/>
    </w:lvl>
    <w:lvl w:ilvl="1">
      <w:lvlJc w:val="left"/>
      <w:lvlText w:val="(%2)"/>
      <w:numFmt w:val="lowerRoman"/>
      <w:start w:val="7"/>
    </w:lvl>
  </w:abstractNum>
  <w:abstractNum w:abstractNumId="44">
    <w:nsid w:val="23F9C13C"/>
    <w:multiLevelType w:val="hybridMultilevel"/>
    <w:lvl w:ilvl="0">
      <w:lvlJc w:val="left"/>
      <w:lvlText w:val="(%1)"/>
      <w:numFmt w:val="upperLetter"/>
      <w:start w:val="2"/>
    </w:lvl>
    <w:lvl w:ilvl="1">
      <w:lvlJc w:val="left"/>
      <w:lvlText w:val="(%2)"/>
      <w:numFmt w:val="lowerRoman"/>
      <w:start w:val="9"/>
    </w:lvl>
  </w:abstractNum>
  <w:abstractNum w:abstractNumId="45">
    <w:nsid w:val="649BB77C"/>
    <w:multiLevelType w:val="hybridMultilevel"/>
    <w:lvl w:ilvl="0">
      <w:lvlJc w:val="left"/>
      <w:lvlText w:val="(%1)"/>
      <w:numFmt w:val="lowerRoman"/>
      <w:start w:val="14"/>
    </w:lvl>
  </w:abstractNum>
  <w:abstractNum w:abstractNumId="46">
    <w:nsid w:val="275AC794"/>
    <w:multiLevelType w:val="hybridMultilevel"/>
    <w:lvl w:ilvl="0">
      <w:lvlJc w:val="left"/>
      <w:lvlText w:val="(%1)"/>
      <w:numFmt w:val="lowerLetter"/>
      <w:start w:val="3"/>
    </w:lvl>
  </w:abstractNum>
  <w:abstractNum w:abstractNumId="47">
    <w:nsid w:val="39386575"/>
    <w:multiLevelType w:val="hybridMultilevel"/>
    <w:lvl w:ilvl="0">
      <w:lvlJc w:val="left"/>
      <w:lvlText w:val="%1"/>
      <w:numFmt w:val="lowerLetter"/>
      <w:start w:val="1"/>
    </w:lvl>
    <w:lvl w:ilvl="1">
      <w:lvlJc w:val="left"/>
      <w:lvlText w:val="(%2)"/>
      <w:numFmt w:val="lowerLetter"/>
      <w:start w:val="1"/>
    </w:lvl>
  </w:abstractNum>
  <w:abstractNum w:abstractNumId="48">
    <w:nsid w:val="1CF10FD8"/>
    <w:multiLevelType w:val="hybridMultilevel"/>
    <w:lvl w:ilvl="0">
      <w:lvlJc w:val="left"/>
      <w:lvlText w:val="(%1)"/>
      <w:numFmt w:val="lowerLetter"/>
      <w:start w:val="9"/>
    </w:lvl>
    <w:lvl w:ilvl="1">
      <w:lvlJc w:val="left"/>
      <w:lvlText w:val="(%2)"/>
      <w:numFmt w:val="lowerLetter"/>
      <w:start w:val="3"/>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2"/>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Roman"/>
      <w:start w:val="1"/>
    </w:lvl>
    <w:lvl w:ilvl="1">
      <w:lvlJc w:val="left"/>
      <w:lvlText w:val="(%2)"/>
      <w:numFmt w:val="lowerLetter"/>
      <w:start w:val="1"/>
    </w:lvl>
  </w:abstractNum>
  <w:abstractNum w:abstractNumId="56">
    <w:nsid w:val="10233C99"/>
    <w:multiLevelType w:val="hybridMultilevel"/>
    <w:lvl w:ilvl="0">
      <w:lvlJc w:val="left"/>
      <w:lvlText w:val="(%1)"/>
      <w:numFmt w:val="lowerRoman"/>
      <w:start w:val="1"/>
    </w:lvl>
    <w:lvl w:ilvl="1">
      <w:lvlJc w:val="left"/>
      <w:lvlText w:val="%2"/>
      <w:numFmt w:val="lowerLetter"/>
      <w:start w:val="1"/>
    </w:lvl>
  </w:abstractNum>
  <w:abstractNum w:abstractNumId="57">
    <w:nsid w:val="3F6AB60F"/>
    <w:multiLevelType w:val="hybridMultilevel"/>
    <w:lvl w:ilvl="0">
      <w:lvlJc w:val="left"/>
      <w:lvlText w:val="(%1)"/>
      <w:numFmt w:val="lowerRoman"/>
      <w:start w:val="3"/>
    </w:lvl>
  </w:abstractNum>
  <w:abstractNum w:abstractNumId="58">
    <w:nsid w:val="61574095"/>
    <w:multiLevelType w:val="hybridMultilevel"/>
    <w:lvl w:ilvl="0">
      <w:lvlJc w:val="left"/>
      <w:lvlText w:val="%1"/>
      <w:numFmt w:val="lowerRoman"/>
      <w:start w:val="1"/>
    </w:lvl>
    <w:lvl w:ilvl="1">
      <w:lvlJc w:val="left"/>
      <w:lvlText w:val="(%2)"/>
      <w:numFmt w:val="lowerLetter"/>
      <w:start w:val="2"/>
    </w:lvl>
  </w:abstractNum>
  <w:abstractNum w:abstractNumId="59">
    <w:nsid w:val="7E0C57B1"/>
    <w:multiLevelType w:val="hybridMultilevel"/>
    <w:lvl w:ilvl="0">
      <w:lvlJc w:val="left"/>
      <w:lvlText w:val="(%1)"/>
      <w:numFmt w:val="lowerRoman"/>
      <w:start w:val="1"/>
    </w:lvl>
    <w:lvl w:ilvl="1">
      <w:lvlJc w:val="left"/>
      <w:lvlText w:val="%2"/>
      <w:numFmt w:val="lowerLetter"/>
      <w:start w:val="1"/>
    </w:lvl>
  </w:abstractNum>
  <w:abstractNum w:abstractNumId="60">
    <w:nsid w:val="77AE35EB"/>
    <w:multiLevelType w:val="hybridMultilevel"/>
    <w:lvl w:ilvl="0">
      <w:lvlJc w:val="left"/>
      <w:lvlText w:val="(%1)"/>
      <w:numFmt w:val="lowerRoman"/>
      <w:start w:val="3"/>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lowerLetter"/>
      <w:start w:val="7"/>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2019-12-15T16:22:09Z</dcterms:created>
  <dcterms:modified xsi:type="dcterms:W3CDTF">2019-12-15T16:22:09Z</dcterms:modified>
</cp:coreProperties>
</file>