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>Davis Morris A.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AGNC Investment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AGNC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 BETHESDA METRO CENTER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05/04/2022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12TH FLOOR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Common Stock, par value $0.01 per share</w:t>
            </w:r>
          </w:p>
        </w:tc>
        <w:tc>
          <w:tcPr>
            <w:tcW w:w="11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05/04/2022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7,520</w:t>
            </w: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11.795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41,300.946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Kenneth L. Pollack,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303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05/05/2022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432824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2022-05-07T15:34:09Z</dcterms:created>
  <dcterms:modified xsi:type="dcterms:W3CDTF">2022-05-07T15:34:09Z</dcterms:modified>
</cp:coreProperties>
</file>