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183515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SECURITIES AND EXCHANGE COMMISSION</w:t>
      </w:r>
    </w:p>
    <w:p>
      <w:pPr>
        <w:spacing w:after="0" w:line="3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195"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SCHEDULE 14A</w:t>
      </w:r>
    </w:p>
    <w:p>
      <w:pPr>
        <w:spacing w:after="0" w:line="3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(Rule 14a-101)</w:t>
      </w:r>
    </w:p>
    <w:p>
      <w:pPr>
        <w:spacing w:after="0" w:line="209"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INFORMATION REQUIRED IN PROXY STATEMENT</w:t>
      </w:r>
    </w:p>
    <w:p>
      <w:pPr>
        <w:spacing w:after="0" w:line="1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SCHEDULE 14A INFORMATION</w:t>
      </w:r>
    </w:p>
    <w:p>
      <w:pPr>
        <w:spacing w:after="0" w:line="209"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1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Exchange Act of 1934</w:t>
      </w:r>
    </w:p>
    <w:p>
      <w:pPr>
        <w:spacing w:after="0" w:line="277" w:lineRule="exact"/>
        <w:rPr>
          <w:sz w:val="24"/>
          <w:szCs w:val="24"/>
          <w:color w:val="auto"/>
        </w:rPr>
      </w:pPr>
    </w:p>
    <w:p>
      <w:pPr>
        <w:ind w:left="20"/>
        <w:spacing w:after="0" w:line="207" w:lineRule="exact"/>
        <w:tabs>
          <w:tab w:leader="none" w:pos="316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04" w:lineRule="exact"/>
        <w:rPr>
          <w:sz w:val="24"/>
          <w:szCs w:val="24"/>
          <w:color w:val="auto"/>
        </w:rPr>
      </w:pPr>
    </w:p>
    <w:p>
      <w:pPr>
        <w:ind w:left="20"/>
        <w:spacing w:after="0"/>
        <w:rPr>
          <w:sz w:val="20"/>
          <w:szCs w:val="20"/>
          <w:color w:val="auto"/>
        </w:rPr>
      </w:pPr>
      <w:r>
        <w:rPr>
          <w:rFonts w:ascii="Arial" w:cs="Arial" w:eastAsia="Arial" w:hAnsi="Arial"/>
          <w:sz w:val="18"/>
          <w:szCs w:val="18"/>
          <w:color w:val="auto"/>
        </w:rPr>
        <w:t>Check the appropriate box:</w:t>
      </w:r>
    </w:p>
    <w:p>
      <w:pPr>
        <w:spacing w:after="0" w:line="90" w:lineRule="exact"/>
        <w:rPr>
          <w:sz w:val="24"/>
          <w:szCs w:val="24"/>
          <w:color w:val="auto"/>
        </w:rPr>
      </w:pPr>
    </w:p>
    <w:p>
      <w:pPr>
        <w:ind w:left="480" w:hanging="472"/>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1" w:lineRule="exact"/>
        <w:rPr>
          <w:rFonts w:ascii="MS PGothic" w:cs="MS PGothic" w:eastAsia="MS PGothic" w:hAnsi="MS PGothic"/>
          <w:sz w:val="18"/>
          <w:szCs w:val="18"/>
          <w:color w:val="auto"/>
        </w:rPr>
      </w:pPr>
    </w:p>
    <w:p>
      <w:pPr>
        <w:ind w:left="480" w:hanging="472"/>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3" w:lineRule="exact"/>
        <w:rPr>
          <w:rFonts w:ascii="MS PGothic" w:cs="MS PGothic" w:eastAsia="MS PGothic" w:hAnsi="MS PGothic"/>
          <w:sz w:val="18"/>
          <w:szCs w:val="18"/>
          <w:color w:val="auto"/>
        </w:rPr>
      </w:pPr>
    </w:p>
    <w:p>
      <w:pPr>
        <w:ind w:left="480" w:hanging="472"/>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480" w:hanging="472"/>
        <w:spacing w:after="0"/>
        <w:tabs>
          <w:tab w:leader="none" w:pos="4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sz w:val="24"/>
          <w:szCs w:val="24"/>
          <w:color w:val="auto"/>
        </w:rPr>
      </w:pPr>
    </w:p>
    <w:p>
      <w:pPr>
        <w:ind w:left="480" w:hanging="472"/>
        <w:spacing w:after="0"/>
        <w:tabs>
          <w:tab w:leader="none" w:pos="48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jc w:val="center"/>
        <w:ind w:right="-79"/>
        <w:spacing w:after="0"/>
        <w:rPr>
          <w:sz w:val="20"/>
          <w:szCs w:val="20"/>
          <w:color w:val="auto"/>
        </w:rPr>
      </w:pPr>
      <w:r>
        <w:rPr>
          <w:rFonts w:ascii="Arial" w:cs="Arial" w:eastAsia="Arial" w:hAnsi="Arial"/>
          <w:sz w:val="43"/>
          <w:szCs w:val="43"/>
          <w:b w:val="1"/>
          <w:bCs w:val="1"/>
          <w:color w:val="auto"/>
        </w:rPr>
        <w:t>American Capital Agency Corp.</w:t>
      </w:r>
    </w:p>
    <w:p>
      <w:pPr>
        <w:spacing w:after="0" w:line="54"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14a-6(i)(4)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line="268" w:lineRule="auto"/>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12"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24" w:lineRule="exact"/>
        <w:rPr>
          <w:rFonts w:ascii="Arial" w:cs="Arial" w:eastAsia="Arial" w:hAnsi="Arial"/>
          <w:sz w:val="18"/>
          <w:szCs w:val="18"/>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600" w:hanging="472"/>
        <w:spacing w:after="0" w:line="332" w:lineRule="auto"/>
        <w:tabs>
          <w:tab w:leader="none" w:pos="48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47" w:lineRule="exact"/>
        <w:rPr>
          <w:rFonts w:ascii="MS PGothic" w:cs="MS PGothic" w:eastAsia="MS PGothic" w:hAnsi="MS PGothic"/>
          <w:sz w:val="16"/>
          <w:szCs w:val="16"/>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-4087495</wp:posOffset>
            </wp:positionV>
            <wp:extent cx="666369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-3667125</wp:posOffset>
            </wp:positionV>
            <wp:extent cx="66636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-3238500</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-2818130</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-2432685</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-982980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-562610</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-142875</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340"/>
          </w:cols>
          <w:pgMar w:left="240" w:top="422" w:right="319" w:bottom="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740410</wp:posOffset>
            </wp:positionH>
            <wp:positionV relativeFrom="page">
              <wp:posOffset>354965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500380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534670</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764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764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960" w:type="dxa"/>
            <w:vAlign w:val="bottom"/>
            <w:gridSpan w:val="2"/>
          </w:tcPr>
          <w:p>
            <w:pPr>
              <w:spacing w:after="0"/>
              <w:rPr>
                <w:sz w:val="20"/>
                <w:szCs w:val="20"/>
                <w:color w:val="auto"/>
              </w:rPr>
            </w:pPr>
            <w:r>
              <w:rPr>
                <w:rFonts w:ascii="Arial" w:cs="Arial" w:eastAsia="Arial" w:hAnsi="Arial"/>
                <w:sz w:val="14"/>
                <w:szCs w:val="14"/>
                <w:color w:val="FFFFFF"/>
              </w:rPr>
              <w:t>IMPORTANT ANNUAL MEETING INFORMATION</w:t>
            </w:r>
          </w:p>
        </w:tc>
        <w:tc>
          <w:tcPr>
            <w:tcW w:w="4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1640" w:type="dxa"/>
            <w:vAlign w:val="bottom"/>
          </w:tcPr>
          <w:p>
            <w:pPr>
              <w:spacing w:after="0"/>
              <w:rPr>
                <w:sz w:val="20"/>
                <w:szCs w:val="20"/>
                <w:color w:val="auto"/>
              </w:rPr>
            </w:pPr>
            <w:r>
              <w:rPr>
                <w:rFonts w:ascii="Arial" w:cs="Arial" w:eastAsia="Arial" w:hAnsi="Arial"/>
                <w:sz w:val="3"/>
                <w:szCs w:val="3"/>
                <w:color w:val="FFFFFF"/>
              </w:rPr>
              <w:t>000004</w:t>
            </w:r>
          </w:p>
        </w:tc>
        <w:tc>
          <w:tcPr>
            <w:tcW w:w="5320" w:type="dxa"/>
            <w:vAlign w:val="bottom"/>
          </w:tcPr>
          <w:p>
            <w:pPr>
              <w:spacing w:after="0"/>
              <w:rPr>
                <w:sz w:val="3"/>
                <w:szCs w:val="3"/>
                <w:color w:val="auto"/>
              </w:rPr>
            </w:pP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640" w:type="dxa"/>
            <w:vAlign w:val="bottom"/>
          </w:tcPr>
          <w:p>
            <w:pPr>
              <w:spacing w:after="0"/>
              <w:rPr>
                <w:sz w:val="20"/>
                <w:szCs w:val="20"/>
                <w:color w:val="auto"/>
              </w:rPr>
            </w:pPr>
            <w:r>
              <w:rPr>
                <w:rFonts w:ascii="Arial" w:cs="Arial" w:eastAsia="Arial" w:hAnsi="Arial"/>
                <w:sz w:val="3"/>
                <w:szCs w:val="3"/>
                <w:color w:val="FFFFFF"/>
              </w:rPr>
              <w:t>C 1234567890</w:t>
            </w:r>
          </w:p>
        </w:tc>
        <w:tc>
          <w:tcPr>
            <w:tcW w:w="5320" w:type="dxa"/>
            <w:vAlign w:val="bottom"/>
            <w:vMerge w:val="restart"/>
          </w:tcPr>
          <w:p>
            <w:pPr>
              <w:ind w:left="160"/>
              <w:spacing w:after="0" w:line="81" w:lineRule="exact"/>
              <w:rPr>
                <w:sz w:val="20"/>
                <w:szCs w:val="20"/>
                <w:color w:val="auto"/>
              </w:rPr>
            </w:pPr>
            <w:r>
              <w:rPr>
                <w:rFonts w:ascii="Arial" w:cs="Arial" w:eastAsia="Arial" w:hAnsi="Arial"/>
                <w:sz w:val="9"/>
                <w:szCs w:val="9"/>
                <w:color w:val="FFFFFF"/>
              </w:rPr>
              <w:t>SACKPACK</w:t>
            </w: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640" w:type="dxa"/>
            <w:vAlign w:val="bottom"/>
          </w:tcPr>
          <w:p>
            <w:pPr>
              <w:spacing w:after="0"/>
              <w:rPr>
                <w:sz w:val="20"/>
                <w:szCs w:val="20"/>
                <w:color w:val="auto"/>
              </w:rPr>
            </w:pPr>
            <w:r>
              <w:rPr>
                <w:rFonts w:ascii="Arial" w:cs="Arial" w:eastAsia="Arial" w:hAnsi="Arial"/>
                <w:sz w:val="3"/>
                <w:szCs w:val="3"/>
                <w:color w:val="FFFFFF"/>
              </w:rPr>
              <w:t>ENDORSEMENT_LINE</w:t>
            </w:r>
          </w:p>
        </w:tc>
        <w:tc>
          <w:tcPr>
            <w:tcW w:w="5320" w:type="dxa"/>
            <w:vAlign w:val="bottom"/>
            <w:vMerge w:val="continue"/>
          </w:tcPr>
          <w:p>
            <w:pPr>
              <w:spacing w:after="0"/>
              <w:rPr>
                <w:sz w:val="3"/>
                <w:szCs w:val="3"/>
                <w:color w:val="auto"/>
              </w:rPr>
            </w:pP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640" w:type="dxa"/>
            <w:vAlign w:val="bottom"/>
          </w:tcPr>
          <w:p>
            <w:pPr>
              <w:spacing w:after="0"/>
              <w:rPr>
                <w:sz w:val="20"/>
                <w:szCs w:val="20"/>
                <w:color w:val="auto"/>
              </w:rPr>
            </w:pPr>
            <w:r>
              <w:rPr>
                <w:rFonts w:ascii="Arial" w:cs="Arial" w:eastAsia="Arial" w:hAnsi="Arial"/>
                <w:sz w:val="3"/>
                <w:szCs w:val="3"/>
                <w:color w:val="FFFFFF"/>
              </w:rPr>
              <w:t>MR   SAMPLE</w:t>
            </w:r>
          </w:p>
        </w:tc>
        <w:tc>
          <w:tcPr>
            <w:tcW w:w="5320" w:type="dxa"/>
            <w:vAlign w:val="bottom"/>
          </w:tcPr>
          <w:p>
            <w:pPr>
              <w:spacing w:after="0"/>
              <w:rPr>
                <w:sz w:val="3"/>
                <w:szCs w:val="3"/>
                <w:color w:val="auto"/>
              </w:rPr>
            </w:pP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640" w:type="dxa"/>
            <w:vAlign w:val="bottom"/>
          </w:tcPr>
          <w:p>
            <w:pPr>
              <w:spacing w:after="0"/>
              <w:rPr>
                <w:sz w:val="20"/>
                <w:szCs w:val="20"/>
                <w:color w:val="auto"/>
              </w:rPr>
            </w:pPr>
            <w:r>
              <w:rPr>
                <w:rFonts w:ascii="Arial" w:cs="Arial" w:eastAsia="Arial" w:hAnsi="Arial"/>
                <w:sz w:val="3"/>
                <w:szCs w:val="3"/>
                <w:color w:val="FFFFFF"/>
              </w:rPr>
              <w:t>DESIGNATION (IF ANY)</w:t>
            </w:r>
          </w:p>
        </w:tc>
        <w:tc>
          <w:tcPr>
            <w:tcW w:w="5320" w:type="dxa"/>
            <w:vAlign w:val="bottom"/>
          </w:tcPr>
          <w:p>
            <w:pPr>
              <w:spacing w:after="0"/>
              <w:rPr>
                <w:sz w:val="3"/>
                <w:szCs w:val="3"/>
                <w:color w:val="auto"/>
              </w:rPr>
            </w:pP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640" w:type="dxa"/>
            <w:vAlign w:val="bottom"/>
          </w:tcPr>
          <w:p>
            <w:pPr>
              <w:ind w:left="340"/>
              <w:spacing w:after="0"/>
              <w:rPr>
                <w:sz w:val="20"/>
                <w:szCs w:val="20"/>
                <w:color w:val="auto"/>
              </w:rPr>
            </w:pPr>
            <w:r>
              <w:rPr>
                <w:rFonts w:ascii="Arial" w:cs="Arial" w:eastAsia="Arial" w:hAnsi="Arial"/>
                <w:sz w:val="3"/>
                <w:szCs w:val="3"/>
                <w:color w:val="FFFFFF"/>
              </w:rPr>
              <w:t>1</w:t>
            </w:r>
          </w:p>
        </w:tc>
        <w:tc>
          <w:tcPr>
            <w:tcW w:w="5320" w:type="dxa"/>
            <w:vAlign w:val="bottom"/>
          </w:tcPr>
          <w:p>
            <w:pPr>
              <w:spacing w:after="0"/>
              <w:rPr>
                <w:sz w:val="3"/>
                <w:szCs w:val="3"/>
                <w:color w:val="auto"/>
              </w:rPr>
            </w:pP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640" w:type="dxa"/>
            <w:vAlign w:val="bottom"/>
          </w:tcPr>
          <w:p>
            <w:pPr>
              <w:ind w:left="340"/>
              <w:spacing w:after="0"/>
              <w:rPr>
                <w:sz w:val="20"/>
                <w:szCs w:val="20"/>
                <w:color w:val="auto"/>
              </w:rPr>
            </w:pPr>
            <w:r>
              <w:rPr>
                <w:rFonts w:ascii="Arial" w:cs="Arial" w:eastAsia="Arial" w:hAnsi="Arial"/>
                <w:sz w:val="3"/>
                <w:szCs w:val="3"/>
                <w:color w:val="FFFFFF"/>
              </w:rPr>
              <w:t>2</w:t>
            </w:r>
          </w:p>
        </w:tc>
        <w:tc>
          <w:tcPr>
            <w:tcW w:w="5320" w:type="dxa"/>
            <w:vAlign w:val="bottom"/>
          </w:tcPr>
          <w:p>
            <w:pPr>
              <w:spacing w:after="0"/>
              <w:rPr>
                <w:sz w:val="3"/>
                <w:szCs w:val="3"/>
                <w:color w:val="auto"/>
              </w:rPr>
            </w:pP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640" w:type="dxa"/>
            <w:vAlign w:val="bottom"/>
          </w:tcPr>
          <w:p>
            <w:pPr>
              <w:ind w:left="340"/>
              <w:spacing w:after="0"/>
              <w:rPr>
                <w:sz w:val="20"/>
                <w:szCs w:val="20"/>
                <w:color w:val="auto"/>
              </w:rPr>
            </w:pPr>
            <w:r>
              <w:rPr>
                <w:rFonts w:ascii="Arial" w:cs="Arial" w:eastAsia="Arial" w:hAnsi="Arial"/>
                <w:sz w:val="3"/>
                <w:szCs w:val="3"/>
                <w:color w:val="FFFFFF"/>
              </w:rPr>
              <w:t>3 ADD 4</w:t>
            </w:r>
          </w:p>
        </w:tc>
        <w:tc>
          <w:tcPr>
            <w:tcW w:w="5320" w:type="dxa"/>
            <w:vAlign w:val="bottom"/>
          </w:tcPr>
          <w:p>
            <w:pPr>
              <w:spacing w:after="0"/>
              <w:rPr>
                <w:sz w:val="3"/>
                <w:szCs w:val="3"/>
                <w:color w:val="auto"/>
              </w:rPr>
            </w:pP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640" w:type="dxa"/>
            <w:vAlign w:val="bottom"/>
          </w:tcPr>
          <w:p>
            <w:pPr>
              <w:ind w:left="340"/>
              <w:spacing w:after="0"/>
              <w:rPr>
                <w:sz w:val="20"/>
                <w:szCs w:val="20"/>
                <w:color w:val="auto"/>
              </w:rPr>
            </w:pPr>
            <w:r>
              <w:rPr>
                <w:rFonts w:ascii="Arial" w:cs="Arial" w:eastAsia="Arial" w:hAnsi="Arial"/>
                <w:sz w:val="3"/>
                <w:szCs w:val="3"/>
                <w:color w:val="FFFFFF"/>
              </w:rPr>
              <w:t>5</w:t>
            </w:r>
          </w:p>
        </w:tc>
        <w:tc>
          <w:tcPr>
            <w:tcW w:w="5320" w:type="dxa"/>
            <w:vAlign w:val="bottom"/>
          </w:tcPr>
          <w:p>
            <w:pPr>
              <w:spacing w:after="0"/>
              <w:rPr>
                <w:sz w:val="3"/>
                <w:szCs w:val="3"/>
                <w:color w:val="auto"/>
              </w:rPr>
            </w:pP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640" w:type="dxa"/>
            <w:vAlign w:val="bottom"/>
          </w:tcPr>
          <w:p>
            <w:pPr>
              <w:spacing w:after="0"/>
              <w:rPr>
                <w:sz w:val="20"/>
                <w:szCs w:val="20"/>
                <w:color w:val="auto"/>
              </w:rPr>
            </w:pPr>
            <w:r>
              <w:rPr>
                <w:rFonts w:ascii="Arial" w:cs="Arial" w:eastAsia="Arial" w:hAnsi="Arial"/>
                <w:sz w:val="3"/>
                <w:szCs w:val="3"/>
                <w:color w:val="FFFFFF"/>
              </w:rPr>
              <w:t>ADD 6</w:t>
            </w:r>
          </w:p>
        </w:tc>
        <w:tc>
          <w:tcPr>
            <w:tcW w:w="5320" w:type="dxa"/>
            <w:vAlign w:val="bottom"/>
          </w:tcPr>
          <w:p>
            <w:pPr>
              <w:spacing w:after="0"/>
              <w:rPr>
                <w:sz w:val="3"/>
                <w:szCs w:val="3"/>
                <w:color w:val="auto"/>
              </w:rPr>
            </w:pP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640" w:type="dxa"/>
            <w:vAlign w:val="bottom"/>
          </w:tcPr>
          <w:p>
            <w:pPr>
              <w:spacing w:after="0"/>
              <w:rPr>
                <w:sz w:val="20"/>
                <w:szCs w:val="20"/>
                <w:color w:val="auto"/>
              </w:rPr>
            </w:pPr>
            <w:r>
              <w:rPr>
                <w:rFonts w:ascii="Arial" w:cs="Arial" w:eastAsia="Arial" w:hAnsi="Arial"/>
                <w:sz w:val="3"/>
                <w:szCs w:val="3"/>
                <w:color w:val="FFFFFF"/>
              </w:rPr>
              <w:t>Stockholder Meeting Notice</w:t>
            </w:r>
          </w:p>
        </w:tc>
        <w:tc>
          <w:tcPr>
            <w:tcW w:w="5320" w:type="dxa"/>
            <w:vAlign w:val="bottom"/>
          </w:tcPr>
          <w:p>
            <w:pPr>
              <w:spacing w:after="0"/>
              <w:rPr>
                <w:sz w:val="3"/>
                <w:szCs w:val="3"/>
                <w:color w:val="auto"/>
              </w:rPr>
            </w:pP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640" w:type="dxa"/>
            <w:vAlign w:val="bottom"/>
          </w:tcPr>
          <w:p>
            <w:pPr>
              <w:spacing w:after="0"/>
              <w:rPr>
                <w:sz w:val="20"/>
                <w:szCs w:val="20"/>
                <w:color w:val="auto"/>
              </w:rPr>
            </w:pPr>
            <w:r>
              <w:rPr>
                <w:rFonts w:ascii="Arial" w:cs="Arial" w:eastAsia="Arial" w:hAnsi="Arial"/>
                <w:sz w:val="3"/>
                <w:szCs w:val="3"/>
                <w:color w:val="FFFFFF"/>
              </w:rPr>
              <w:t>1234 5678 9012 345</w:t>
            </w:r>
          </w:p>
        </w:tc>
        <w:tc>
          <w:tcPr>
            <w:tcW w:w="5320" w:type="dxa"/>
            <w:vAlign w:val="bottom"/>
          </w:tcPr>
          <w:p>
            <w:pPr>
              <w:spacing w:after="0"/>
              <w:rPr>
                <w:sz w:val="3"/>
                <w:szCs w:val="3"/>
                <w:color w:val="auto"/>
              </w:rPr>
            </w:pPr>
          </w:p>
        </w:tc>
        <w:tc>
          <w:tcPr>
            <w:tcW w:w="4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1300" w:type="dxa"/>
            <w:vAlign w:val="bottom"/>
            <w:gridSpan w:val="3"/>
          </w:tcPr>
          <w:p>
            <w:pPr>
              <w:spacing w:after="0"/>
              <w:rPr>
                <w:sz w:val="20"/>
                <w:szCs w:val="20"/>
                <w:color w:val="auto"/>
              </w:rPr>
            </w:pPr>
            <w:r>
              <w:rPr>
                <w:rFonts w:ascii="Arial" w:cs="Arial" w:eastAsia="Arial" w:hAnsi="Arial"/>
                <w:sz w:val="3"/>
                <w:szCs w:val="3"/>
                <w:color w:val="FFFFFF"/>
              </w:rPr>
              <w:t>American Capital Important Agency Notice Corp. Regarding 2012 Annual the Meeting Availability of Stockholders of Proxy Materials to be Held for the on May 1, 2012</w:t>
            </w:r>
          </w:p>
        </w:tc>
        <w:tc>
          <w:tcPr>
            <w:tcW w:w="0" w:type="dxa"/>
            <w:vAlign w:val="bottom"/>
          </w:tcPr>
          <w:p>
            <w:pPr>
              <w:spacing w:after="0"/>
              <w:rPr>
                <w:sz w:val="1"/>
                <w:szCs w:val="1"/>
                <w:color w:val="auto"/>
              </w:rPr>
            </w:pPr>
          </w:p>
        </w:tc>
      </w:tr>
      <w:tr>
        <w:trPr>
          <w:trHeight w:val="41"/>
        </w:trPr>
        <w:tc>
          <w:tcPr>
            <w:tcW w:w="1640" w:type="dxa"/>
            <w:vAlign w:val="bottom"/>
          </w:tcPr>
          <w:p>
            <w:pPr>
              <w:spacing w:after="0"/>
              <w:rPr>
                <w:sz w:val="20"/>
                <w:szCs w:val="20"/>
                <w:color w:val="auto"/>
              </w:rPr>
            </w:pPr>
            <w:r>
              <w:rPr>
                <w:rFonts w:ascii="Arial" w:cs="Arial" w:eastAsia="Arial" w:hAnsi="Arial"/>
                <w:sz w:val="3"/>
                <w:szCs w:val="3"/>
                <w:color w:val="FFFFFF"/>
              </w:rPr>
              <w:t>Under Securities and</w:t>
            </w:r>
          </w:p>
        </w:tc>
        <w:tc>
          <w:tcPr>
            <w:tcW w:w="9660" w:type="dxa"/>
            <w:vAlign w:val="bottom"/>
            <w:gridSpan w:val="2"/>
          </w:tcPr>
          <w:p>
            <w:pPr>
              <w:ind w:left="100"/>
              <w:spacing w:after="0"/>
              <w:rPr>
                <w:sz w:val="20"/>
                <w:szCs w:val="20"/>
                <w:color w:val="auto"/>
              </w:rPr>
            </w:pPr>
            <w:r>
              <w:rPr>
                <w:rFonts w:ascii="Arial" w:cs="Arial" w:eastAsia="Arial" w:hAnsi="Arial"/>
                <w:sz w:val="3"/>
                <w:szCs w:val="3"/>
                <w:color w:val="FFFFFF"/>
              </w:rPr>
              <w:t>Commission rules, you are receiving this notice that the proxy materials for the annual stockholders’ meeting are available on the Internet. Follow the instructions below to view</w:t>
            </w:r>
          </w:p>
        </w:tc>
        <w:tc>
          <w:tcPr>
            <w:tcW w:w="0" w:type="dxa"/>
            <w:vAlign w:val="bottom"/>
          </w:tcPr>
          <w:p>
            <w:pPr>
              <w:spacing w:after="0"/>
              <w:rPr>
                <w:sz w:val="1"/>
                <w:szCs w:val="1"/>
                <w:color w:val="auto"/>
              </w:rPr>
            </w:pPr>
          </w:p>
        </w:tc>
      </w:tr>
      <w:tr>
        <w:trPr>
          <w:trHeight w:val="0"/>
        </w:trPr>
        <w:tc>
          <w:tcPr>
            <w:tcW w:w="6960" w:type="dxa"/>
            <w:vAlign w:val="bottom"/>
            <w:gridSpan w:val="2"/>
          </w:tcPr>
          <w:p>
            <w:pPr>
              <w:spacing w:after="0" w:line="80" w:lineRule="exact"/>
              <w:rPr>
                <w:sz w:val="20"/>
                <w:szCs w:val="20"/>
                <w:color w:val="auto"/>
              </w:rPr>
            </w:pPr>
            <w:r>
              <w:rPr>
                <w:rFonts w:ascii="Arial" w:cs="Arial" w:eastAsia="Arial" w:hAnsi="Arial"/>
                <w:sz w:val="9"/>
                <w:szCs w:val="9"/>
                <w:color w:val="FFFFFF"/>
              </w:rPr>
              <w:t>the materials and voteExchangeonlior request a paper copy. The items to be voted on and location of the annual meeting are on the</w:t>
            </w:r>
          </w:p>
        </w:tc>
        <w:tc>
          <w:tcPr>
            <w:tcW w:w="4340" w:type="dxa"/>
            <w:vAlign w:val="bottom"/>
          </w:tcPr>
          <w:p>
            <w:pPr>
              <w:ind w:left="220"/>
              <w:spacing w:after="0" w:line="80" w:lineRule="exact"/>
              <w:rPr>
                <w:sz w:val="20"/>
                <w:szCs w:val="20"/>
                <w:color w:val="auto"/>
              </w:rPr>
            </w:pPr>
            <w:r>
              <w:rPr>
                <w:rFonts w:ascii="Arial" w:cs="Arial" w:eastAsia="Arial" w:hAnsi="Arial"/>
                <w:sz w:val="9"/>
                <w:szCs w:val="9"/>
                <w:color w:val="FFFFFF"/>
              </w:rPr>
              <w:t>side. Your vote is important!</w:t>
            </w:r>
          </w:p>
        </w:tc>
        <w:tc>
          <w:tcPr>
            <w:tcW w:w="0" w:type="dxa"/>
            <w:vAlign w:val="bottom"/>
          </w:tcPr>
          <w:p>
            <w:pPr>
              <w:spacing w:after="0" w:line="20" w:lineRule="exact"/>
              <w:rPr>
                <w:sz w:val="1"/>
                <w:szCs w:val="1"/>
                <w:color w:val="auto"/>
              </w:rPr>
            </w:pPr>
          </w:p>
        </w:tc>
      </w:tr>
    </w:tbl>
    <w:p>
      <w:pPr>
        <w:jc w:val="both"/>
        <w:spacing w:after="0"/>
        <w:rPr>
          <w:sz w:val="20"/>
          <w:szCs w:val="20"/>
          <w:color w:val="auto"/>
        </w:rPr>
      </w:pPr>
      <w:r>
        <w:rPr>
          <w:rFonts w:ascii="Arial" w:cs="Arial" w:eastAsia="Arial" w:hAnsi="Arial"/>
          <w:sz w:val="3"/>
          <w:szCs w:val="3"/>
          <w:color w:val="FFFFFF"/>
        </w:rPr>
        <w:t>This communication presents only an overview of the more complete proxy materials that are available to you on the Internet.reverseWencourage you to access and review all of the important information contained in the proxy materials before voting. The proxy statement and annual report to stockholders are available at:</w:t>
      </w:r>
    </w:p>
    <w:p>
      <w:pPr>
        <w:spacing w:after="0" w:line="199" w:lineRule="auto"/>
        <w:rPr>
          <w:sz w:val="20"/>
          <w:szCs w:val="20"/>
          <w:color w:val="auto"/>
        </w:rPr>
      </w:pPr>
      <w:r>
        <w:rPr>
          <w:rFonts w:ascii="Arial" w:cs="Arial" w:eastAsia="Arial" w:hAnsi="Arial"/>
          <w:sz w:val="5"/>
          <w:szCs w:val="5"/>
          <w:color w:val="FFFFFF"/>
        </w:rPr>
        <w:t>www.investorvote.com/agnc</w:t>
      </w:r>
    </w:p>
    <w:p>
      <w:pPr>
        <w:spacing w:after="0"/>
        <w:rPr>
          <w:sz w:val="20"/>
          <w:szCs w:val="20"/>
          <w:color w:val="auto"/>
        </w:rPr>
      </w:pPr>
      <w:r>
        <w:rPr>
          <w:rFonts w:ascii="Arial" w:cs="Arial" w:eastAsia="Arial" w:hAnsi="Arial"/>
          <w:sz w:val="3"/>
          <w:szCs w:val="3"/>
          <w:color w:val="FFFFFF"/>
        </w:rPr>
        <w:t>Easy Online Access — A Convenient Way to View Proxy Materials and Vote</w:t>
      </w:r>
    </w:p>
    <w:p>
      <w:pPr>
        <w:spacing w:after="0" w:line="194" w:lineRule="auto"/>
        <w:rPr>
          <w:sz w:val="20"/>
          <w:szCs w:val="20"/>
          <w:color w:val="auto"/>
        </w:rPr>
      </w:pPr>
      <w:r>
        <w:rPr>
          <w:rFonts w:ascii="Arial" w:cs="Arial" w:eastAsia="Arial" w:hAnsi="Arial"/>
          <w:sz w:val="5"/>
          <w:szCs w:val="5"/>
          <w:color w:val="FFFFFF"/>
        </w:rPr>
        <w:t>When you go online to view materials, you can also vote your shares. Step 1: Go to www.investorvote.com/agnc.</w:t>
      </w:r>
    </w:p>
    <w:p>
      <w:pPr>
        <w:spacing w:after="0" w:line="188" w:lineRule="auto"/>
        <w:rPr>
          <w:sz w:val="20"/>
          <w:szCs w:val="20"/>
          <w:color w:val="auto"/>
        </w:rPr>
      </w:pPr>
      <w:r>
        <w:rPr>
          <w:rFonts w:ascii="Arial" w:cs="Arial" w:eastAsia="Arial" w:hAnsi="Arial"/>
          <w:sz w:val="9"/>
          <w:szCs w:val="9"/>
          <w:color w:val="FFFFFF"/>
          <w:vertAlign w:val="superscript"/>
        </w:rPr>
        <w:t>Step 3:</w:t>
      </w:r>
      <w:r>
        <w:rPr>
          <w:rFonts w:ascii="Arial" w:cs="Arial" w:eastAsia="Arial" w:hAnsi="Arial"/>
          <w:sz w:val="7"/>
          <w:szCs w:val="7"/>
          <w:color w:val="FFFFFF"/>
        </w:rPr>
        <w:t>2: Click on the icon on the right to view current meeting materials.</w:t>
      </w:r>
    </w:p>
    <w:p>
      <w:pPr>
        <w:spacing w:after="0"/>
        <w:rPr>
          <w:sz w:val="20"/>
          <w:szCs w:val="20"/>
          <w:color w:val="auto"/>
        </w:rPr>
      </w:pPr>
      <w:r>
        <w:rPr>
          <w:rFonts w:ascii="Arial" w:cs="Arial" w:eastAsia="Arial" w:hAnsi="Arial"/>
          <w:sz w:val="3"/>
          <w:szCs w:val="3"/>
          <w:color w:val="FFFFFF"/>
        </w:rPr>
        <w:t>When youReturngoonline,tothe investorvote.comyoucanalsohelp windowtheenvironmentandfollowby theconsentinginstructionstoreceiveonthe electronicscreento logdeliveryin.Stepof future4:Makematerials.yourselection as instructed on each screen to select delivery preferences and vote.</w:t>
      </w:r>
    </w:p>
    <w:p>
      <w:pPr>
        <w:spacing w:after="0" w:line="194" w:lineRule="auto"/>
        <w:rPr>
          <w:sz w:val="20"/>
          <w:szCs w:val="20"/>
          <w:color w:val="auto"/>
        </w:rPr>
      </w:pPr>
      <w:r>
        <w:rPr>
          <w:rFonts w:ascii="Arial" w:cs="Arial" w:eastAsia="Arial" w:hAnsi="Arial"/>
          <w:sz w:val="3"/>
          <w:szCs w:val="3"/>
          <w:color w:val="FFFFFF"/>
        </w:rPr>
        <w:t>Obtaining</w:t>
      </w:r>
      <w:r>
        <w:rPr>
          <w:rFonts w:ascii="Arial" w:cs="Arial" w:eastAsia="Arial" w:hAnsi="Arial"/>
          <w:sz w:val="5"/>
          <w:szCs w:val="5"/>
          <w:color w:val="FFFFFF"/>
          <w:vertAlign w:val="superscript"/>
        </w:rPr>
        <w:t>make</w:t>
      </w:r>
      <w:r>
        <w:rPr>
          <w:rFonts w:ascii="Arial" w:cs="Arial" w:eastAsia="Arial" w:hAnsi="Arial"/>
          <w:sz w:val="3"/>
          <w:szCs w:val="3"/>
          <w:color w:val="FFFFFF"/>
        </w:rPr>
        <w:t>Paper Copy of the Proxy Materials – If you want to receive a paper copy of these documents, you must request one. There is no charge to you for requesting a paper copy.</w:t>
      </w:r>
    </w:p>
    <w:p>
      <w:pPr>
        <w:spacing w:after="0" w:line="188" w:lineRule="auto"/>
        <w:tabs>
          <w:tab w:leader="none" w:pos="700" w:val="left"/>
        </w:tabs>
        <w:rPr>
          <w:sz w:val="20"/>
          <w:szCs w:val="20"/>
          <w:color w:val="auto"/>
        </w:rPr>
      </w:pPr>
      <w:r>
        <w:rPr>
          <w:rFonts w:ascii="Arial" w:cs="Arial" w:eastAsia="Arial" w:hAnsi="Arial"/>
          <w:sz w:val="9"/>
          <w:szCs w:val="9"/>
          <w:color w:val="FFFFFF"/>
        </w:rPr>
        <w:t>Please</w:t>
      </w:r>
      <w:r>
        <w:rPr>
          <w:sz w:val="20"/>
          <w:szCs w:val="20"/>
          <w:color w:val="auto"/>
        </w:rPr>
        <w:tab/>
      </w:r>
      <w:r>
        <w:rPr>
          <w:rFonts w:ascii="Arial" w:cs="Arial" w:eastAsia="Arial" w:hAnsi="Arial"/>
          <w:sz w:val="9"/>
          <w:szCs w:val="9"/>
          <w:color w:val="FFFFFF"/>
        </w:rPr>
        <w:t>your request for a paper copy as instructed on the reverse side on or before April 20, 2012 to facilitate timely delivery.</w:t>
      </w:r>
    </w:p>
    <w:p>
      <w:pPr>
        <w:spacing w:after="0"/>
        <w:rPr>
          <w:sz w:val="20"/>
          <w:szCs w:val="20"/>
          <w:color w:val="auto"/>
        </w:rPr>
      </w:pPr>
      <w:r>
        <w:rPr>
          <w:rFonts w:ascii="Arial" w:cs="Arial" w:eastAsia="Arial" w:hAnsi="Arial"/>
          <w:sz w:val="14"/>
          <w:szCs w:val="14"/>
          <w:color w:val="FFFFFF"/>
        </w:rPr>
        <w:t>01FNPACOY</w:t>
      </w:r>
    </w:p>
    <w:p>
      <w:pPr>
        <w:sectPr>
          <w:pgSz w:w="11900" w:h="16838" w:orient="portrait"/>
          <w:cols w:equalWidth="0" w:num="1">
            <w:col w:w="11300"/>
          </w:cols>
          <w:pgMar w:left="240" w:top="1440" w:right="359" w:bottom="1440" w:gutter="0" w:footer="0" w:header="0"/>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765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765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820" w:type="dxa"/>
            <w:vAlign w:val="bottom"/>
            <w:gridSpan w:val="2"/>
          </w:tcPr>
          <w:p>
            <w:pPr>
              <w:spacing w:after="0"/>
              <w:rPr>
                <w:sz w:val="20"/>
                <w:szCs w:val="20"/>
                <w:color w:val="auto"/>
              </w:rPr>
            </w:pPr>
            <w:r>
              <w:rPr>
                <w:rFonts w:ascii="Arial" w:cs="Arial" w:eastAsia="Arial" w:hAnsi="Arial"/>
                <w:sz w:val="14"/>
                <w:szCs w:val="14"/>
                <w:color w:val="FFFFFF"/>
              </w:rPr>
              <w:t>Stockholder Meeting Notice</w:t>
            </w:r>
          </w:p>
        </w:tc>
        <w:tc>
          <w:tcPr>
            <w:tcW w:w="642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11400" w:type="dxa"/>
            <w:vAlign w:val="bottom"/>
            <w:gridSpan w:val="4"/>
          </w:tcPr>
          <w:p>
            <w:pPr>
              <w:spacing w:after="0"/>
              <w:rPr>
                <w:sz w:val="20"/>
                <w:szCs w:val="20"/>
                <w:color w:val="auto"/>
              </w:rPr>
            </w:pPr>
            <w:r>
              <w:rPr>
                <w:rFonts w:ascii="Arial" w:cs="Arial" w:eastAsia="Arial" w:hAnsi="Arial"/>
                <w:sz w:val="3"/>
                <w:szCs w:val="3"/>
                <w:color w:val="FFFFFF"/>
              </w:rPr>
              <w:t>American Capital Agency Corp.’s 2012 Annual Meeting of Stockholders will be held on Tuesday, May 1, 2012 at the Hyatt Regency Bethesda, 7400 Wisconsin Avenue, Bethesda, Maryland 20814, at 10:00 a.m.</w:t>
            </w:r>
          </w:p>
        </w:tc>
        <w:tc>
          <w:tcPr>
            <w:tcW w:w="0" w:type="dxa"/>
            <w:vAlign w:val="bottom"/>
          </w:tcPr>
          <w:p>
            <w:pPr>
              <w:spacing w:after="0"/>
              <w:rPr>
                <w:sz w:val="1"/>
                <w:szCs w:val="1"/>
                <w:color w:val="auto"/>
              </w:rPr>
            </w:pPr>
          </w:p>
        </w:tc>
      </w:tr>
      <w:tr>
        <w:trPr>
          <w:trHeight w:val="41"/>
        </w:trPr>
        <w:tc>
          <w:tcPr>
            <w:tcW w:w="2820" w:type="dxa"/>
            <w:vAlign w:val="bottom"/>
            <w:gridSpan w:val="2"/>
          </w:tcPr>
          <w:p>
            <w:pPr>
              <w:spacing w:after="0"/>
              <w:rPr>
                <w:sz w:val="20"/>
                <w:szCs w:val="20"/>
                <w:color w:val="auto"/>
              </w:rPr>
            </w:pPr>
            <w:r>
              <w:rPr>
                <w:rFonts w:ascii="Arial" w:cs="Arial" w:eastAsia="Arial" w:hAnsi="Arial"/>
                <w:sz w:val="3"/>
                <w:szCs w:val="3"/>
                <w:color w:val="FFFFFF"/>
              </w:rPr>
              <w:t>Eastern Time.</w:t>
            </w:r>
          </w:p>
        </w:tc>
        <w:tc>
          <w:tcPr>
            <w:tcW w:w="6420" w:type="dxa"/>
            <w:vAlign w:val="bottom"/>
          </w:tcPr>
          <w:p>
            <w:pPr>
              <w:spacing w:after="0"/>
              <w:rPr>
                <w:sz w:val="3"/>
                <w:szCs w:val="3"/>
                <w:color w:val="auto"/>
              </w:rPr>
            </w:pPr>
          </w:p>
        </w:tc>
        <w:tc>
          <w:tcPr>
            <w:tcW w:w="2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1400" w:type="dxa"/>
            <w:vAlign w:val="bottom"/>
            <w:gridSpan w:val="4"/>
          </w:tcPr>
          <w:p>
            <w:pPr>
              <w:spacing w:after="0"/>
              <w:rPr>
                <w:sz w:val="20"/>
                <w:szCs w:val="20"/>
                <w:color w:val="auto"/>
              </w:rPr>
            </w:pPr>
            <w:r>
              <w:rPr>
                <w:rFonts w:ascii="Arial" w:cs="Arial" w:eastAsia="Arial" w:hAnsi="Arial"/>
                <w:sz w:val="3"/>
                <w:szCs w:val="3"/>
                <w:color w:val="FFFFFF"/>
              </w:rPr>
              <w:t>Proposals to be voted on at the meeting are listed below along with the Board of Directors’ recommendations. The Board of Directors recommends that you vote FOR all the nominees listed and FOR Proposals</w:t>
            </w:r>
          </w:p>
        </w:tc>
        <w:tc>
          <w:tcPr>
            <w:tcW w:w="0" w:type="dxa"/>
            <w:vAlign w:val="bottom"/>
          </w:tcPr>
          <w:p>
            <w:pPr>
              <w:spacing w:after="0"/>
              <w:rPr>
                <w:sz w:val="1"/>
                <w:szCs w:val="1"/>
                <w:color w:val="auto"/>
              </w:rPr>
            </w:pPr>
          </w:p>
        </w:tc>
      </w:tr>
      <w:tr>
        <w:trPr>
          <w:trHeight w:val="41"/>
        </w:trPr>
        <w:tc>
          <w:tcPr>
            <w:tcW w:w="2820" w:type="dxa"/>
            <w:vAlign w:val="bottom"/>
            <w:gridSpan w:val="2"/>
          </w:tcPr>
          <w:p>
            <w:pPr>
              <w:spacing w:after="0"/>
              <w:rPr>
                <w:sz w:val="20"/>
                <w:szCs w:val="20"/>
                <w:color w:val="auto"/>
              </w:rPr>
            </w:pPr>
            <w:r>
              <w:rPr>
                <w:rFonts w:ascii="Arial" w:cs="Arial" w:eastAsia="Arial" w:hAnsi="Arial"/>
                <w:sz w:val="3"/>
                <w:szCs w:val="3"/>
                <w:color w:val="FFFFFF"/>
              </w:rPr>
              <w:t>2, 3 and 4.</w:t>
            </w:r>
          </w:p>
        </w:tc>
        <w:tc>
          <w:tcPr>
            <w:tcW w:w="6420" w:type="dxa"/>
            <w:vAlign w:val="bottom"/>
          </w:tcPr>
          <w:p>
            <w:pPr>
              <w:spacing w:after="0"/>
              <w:rPr>
                <w:sz w:val="3"/>
                <w:szCs w:val="3"/>
                <w:color w:val="auto"/>
              </w:rPr>
            </w:pPr>
          </w:p>
        </w:tc>
        <w:tc>
          <w:tcPr>
            <w:tcW w:w="2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9240" w:type="dxa"/>
            <w:vAlign w:val="bottom"/>
            <w:gridSpan w:val="3"/>
          </w:tcPr>
          <w:p>
            <w:pPr>
              <w:spacing w:after="0"/>
              <w:rPr>
                <w:sz w:val="20"/>
                <w:szCs w:val="20"/>
                <w:color w:val="auto"/>
              </w:rPr>
            </w:pPr>
            <w:r>
              <w:rPr>
                <w:rFonts w:ascii="Arial" w:cs="Arial" w:eastAsia="Arial" w:hAnsi="Arial"/>
                <w:sz w:val="3"/>
                <w:szCs w:val="3"/>
                <w:color w:val="FFFFFF"/>
              </w:rPr>
              <w:t>1. Election of Directors: 01—Robert M. Couch, 02—Morris A. Davis, 03—Randy E. Dobbs, 04—Larry K. Harvey, 05—Alvin N. Puryear,</w:t>
            </w:r>
          </w:p>
        </w:tc>
        <w:tc>
          <w:tcPr>
            <w:tcW w:w="2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820" w:type="dxa"/>
            <w:vAlign w:val="bottom"/>
            <w:gridSpan w:val="2"/>
          </w:tcPr>
          <w:p>
            <w:pPr>
              <w:spacing w:after="0"/>
              <w:rPr>
                <w:sz w:val="20"/>
                <w:szCs w:val="20"/>
                <w:color w:val="auto"/>
              </w:rPr>
            </w:pPr>
            <w:r>
              <w:rPr>
                <w:rFonts w:ascii="Arial" w:cs="Arial" w:eastAsia="Arial" w:hAnsi="Arial"/>
                <w:sz w:val="3"/>
                <w:szCs w:val="3"/>
                <w:color w:val="FFFFFF"/>
              </w:rPr>
              <w:t>06—Malon Wilkus, 07—Samuel A. Flax</w:t>
            </w:r>
          </w:p>
        </w:tc>
        <w:tc>
          <w:tcPr>
            <w:tcW w:w="8580" w:type="dxa"/>
            <w:vAlign w:val="bottom"/>
            <w:gridSpan w:val="2"/>
            <w:vMerge w:val="restart"/>
          </w:tcPr>
          <w:p>
            <w:pPr>
              <w:ind w:left="4160"/>
              <w:spacing w:after="0" w:line="81" w:lineRule="exact"/>
              <w:rPr>
                <w:sz w:val="20"/>
                <w:szCs w:val="20"/>
                <w:color w:val="auto"/>
              </w:rPr>
            </w:pPr>
            <w:r>
              <w:rPr>
                <w:rFonts w:ascii="Arial" w:cs="Arial" w:eastAsia="Arial" w:hAnsi="Arial"/>
                <w:sz w:val="9"/>
                <w:szCs w:val="9"/>
                <w:color w:val="FFFFFF"/>
              </w:rPr>
              <w:t>common stock from 300,000,000 to 600,000,000.</w:t>
            </w:r>
          </w:p>
        </w:tc>
        <w:tc>
          <w:tcPr>
            <w:tcW w:w="0" w:type="dxa"/>
            <w:vAlign w:val="bottom"/>
          </w:tcPr>
          <w:p>
            <w:pPr>
              <w:spacing w:after="0"/>
              <w:rPr>
                <w:sz w:val="1"/>
                <w:szCs w:val="1"/>
                <w:color w:val="auto"/>
              </w:rPr>
            </w:pPr>
          </w:p>
        </w:tc>
      </w:tr>
      <w:tr>
        <w:trPr>
          <w:trHeight w:val="41"/>
        </w:trPr>
        <w:tc>
          <w:tcPr>
            <w:tcW w:w="120" w:type="dxa"/>
            <w:vAlign w:val="bottom"/>
          </w:tcPr>
          <w:p>
            <w:pPr>
              <w:spacing w:after="0"/>
              <w:rPr>
                <w:sz w:val="20"/>
                <w:szCs w:val="20"/>
                <w:color w:val="auto"/>
              </w:rPr>
            </w:pPr>
            <w:r>
              <w:rPr>
                <w:rFonts w:ascii="Arial" w:cs="Arial" w:eastAsia="Arial" w:hAnsi="Arial"/>
                <w:sz w:val="3"/>
                <w:szCs w:val="3"/>
                <w:color w:val="FFFFFF"/>
              </w:rPr>
              <w:t>2</w:t>
            </w:r>
          </w:p>
        </w:tc>
        <w:tc>
          <w:tcPr>
            <w:tcW w:w="2700" w:type="dxa"/>
            <w:vAlign w:val="bottom"/>
          </w:tcPr>
          <w:p>
            <w:pPr>
              <w:spacing w:after="0"/>
              <w:rPr>
                <w:sz w:val="3"/>
                <w:szCs w:val="3"/>
                <w:color w:val="auto"/>
              </w:rPr>
            </w:pPr>
          </w:p>
        </w:tc>
        <w:tc>
          <w:tcPr>
            <w:tcW w:w="8580" w:type="dxa"/>
            <w:vAlign w:val="bottom"/>
            <w:gridSpan w:val="2"/>
            <w:vMerge w:val="continue"/>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20" w:type="dxa"/>
            <w:vAlign w:val="bottom"/>
          </w:tcPr>
          <w:p>
            <w:pPr>
              <w:spacing w:after="0"/>
              <w:rPr>
                <w:sz w:val="20"/>
                <w:szCs w:val="20"/>
                <w:color w:val="auto"/>
              </w:rPr>
            </w:pPr>
            <w:r>
              <w:rPr>
                <w:rFonts w:ascii="Arial" w:cs="Arial" w:eastAsia="Arial" w:hAnsi="Arial"/>
                <w:sz w:val="3"/>
                <w:szCs w:val="3"/>
                <w:color w:val="FFFFFF"/>
              </w:rPr>
              <w:t>3</w:t>
            </w:r>
          </w:p>
        </w:tc>
        <w:tc>
          <w:tcPr>
            <w:tcW w:w="11280" w:type="dxa"/>
            <w:vAlign w:val="bottom"/>
            <w:gridSpan w:val="3"/>
          </w:tcPr>
          <w:p>
            <w:pPr>
              <w:ind w:left="20"/>
              <w:spacing w:after="0"/>
              <w:rPr>
                <w:sz w:val="20"/>
                <w:szCs w:val="20"/>
                <w:color w:val="auto"/>
              </w:rPr>
            </w:pPr>
            <w:r>
              <w:rPr>
                <w:rFonts w:ascii="Arial" w:cs="Arial" w:eastAsia="Arial" w:hAnsi="Arial"/>
                <w:sz w:val="3"/>
                <w:szCs w:val="3"/>
                <w:color w:val="FFFFFF"/>
              </w:rPr>
              <w:t>To approve an amendment to our Amended and Restated Certificate of Incorporation to increase the total authorized shares of preferred stock from 10,000,000 to 50,000,000.</w:t>
            </w:r>
          </w:p>
        </w:tc>
        <w:tc>
          <w:tcPr>
            <w:tcW w:w="0" w:type="dxa"/>
            <w:vAlign w:val="bottom"/>
          </w:tcPr>
          <w:p>
            <w:pPr>
              <w:spacing w:after="0"/>
              <w:rPr>
                <w:sz w:val="1"/>
                <w:szCs w:val="1"/>
                <w:color w:val="auto"/>
              </w:rPr>
            </w:pPr>
          </w:p>
        </w:tc>
      </w:tr>
      <w:tr>
        <w:trPr>
          <w:trHeight w:val="41"/>
        </w:trPr>
        <w:tc>
          <w:tcPr>
            <w:tcW w:w="120" w:type="dxa"/>
            <w:vAlign w:val="bottom"/>
          </w:tcPr>
          <w:p>
            <w:pPr>
              <w:spacing w:after="0"/>
              <w:rPr>
                <w:sz w:val="20"/>
                <w:szCs w:val="20"/>
                <w:color w:val="auto"/>
              </w:rPr>
            </w:pPr>
            <w:r>
              <w:rPr>
                <w:rFonts w:ascii="Arial" w:cs="Arial" w:eastAsia="Arial" w:hAnsi="Arial"/>
                <w:sz w:val="3"/>
                <w:szCs w:val="3"/>
                <w:color w:val="FFFFFF"/>
              </w:rPr>
              <w:t>4.</w:t>
            </w:r>
          </w:p>
        </w:tc>
        <w:tc>
          <w:tcPr>
            <w:tcW w:w="9120" w:type="dxa"/>
            <w:vAlign w:val="bottom"/>
            <w:gridSpan w:val="2"/>
          </w:tcPr>
          <w:p>
            <w:pPr>
              <w:ind w:left="20"/>
              <w:spacing w:after="0"/>
              <w:rPr>
                <w:sz w:val="20"/>
                <w:szCs w:val="20"/>
                <w:color w:val="auto"/>
              </w:rPr>
            </w:pPr>
            <w:r>
              <w:rPr>
                <w:rFonts w:ascii="Arial" w:cs="Arial" w:eastAsia="Arial" w:hAnsi="Arial"/>
                <w:sz w:val="3"/>
                <w:szCs w:val="3"/>
                <w:color w:val="FFFFFF"/>
              </w:rPr>
              <w:t>Ratification of appointment of Ernst &amp; Young LLP as our independent public accountant for the year ending December 31, 2012.</w:t>
            </w:r>
          </w:p>
        </w:tc>
        <w:tc>
          <w:tcPr>
            <w:tcW w:w="2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1400" w:type="dxa"/>
            <w:vAlign w:val="bottom"/>
            <w:gridSpan w:val="4"/>
          </w:tcPr>
          <w:p>
            <w:pPr>
              <w:spacing w:after="0"/>
              <w:rPr>
                <w:sz w:val="20"/>
                <w:szCs w:val="20"/>
                <w:color w:val="auto"/>
              </w:rPr>
            </w:pPr>
            <w:r>
              <w:rPr>
                <w:rFonts w:ascii="Arial" w:cs="Arial" w:eastAsia="Arial" w:hAnsi="Arial"/>
                <w:sz w:val="3"/>
                <w:szCs w:val="3"/>
                <w:color w:val="FFFFFF"/>
              </w:rPr>
              <w:t>PLEASE NOTE – YOU CANNOT VOTE BY RETURNING THIS NOTICE. To vote your shares you must vote online or request a paper copy of the proxy materials to receive a proxy card. If you wish to</w:t>
            </w:r>
          </w:p>
        </w:tc>
        <w:tc>
          <w:tcPr>
            <w:tcW w:w="0" w:type="dxa"/>
            <w:vAlign w:val="bottom"/>
          </w:tcPr>
          <w:p>
            <w:pPr>
              <w:spacing w:after="0"/>
              <w:rPr>
                <w:sz w:val="1"/>
                <w:szCs w:val="1"/>
                <w:color w:val="auto"/>
              </w:rPr>
            </w:pPr>
          </w:p>
        </w:tc>
      </w:tr>
      <w:tr>
        <w:trPr>
          <w:trHeight w:val="41"/>
        </w:trPr>
        <w:tc>
          <w:tcPr>
            <w:tcW w:w="9240" w:type="dxa"/>
            <w:vAlign w:val="bottom"/>
            <w:gridSpan w:val="3"/>
          </w:tcPr>
          <w:p>
            <w:pPr>
              <w:spacing w:after="0"/>
              <w:rPr>
                <w:sz w:val="20"/>
                <w:szCs w:val="20"/>
                <w:color w:val="auto"/>
              </w:rPr>
            </w:pPr>
            <w:r>
              <w:rPr>
                <w:rFonts w:ascii="Arial" w:cs="Arial" w:eastAsia="Arial" w:hAnsi="Arial"/>
                <w:sz w:val="3"/>
                <w:szCs w:val="3"/>
                <w:color w:val="FFFFFF"/>
              </w:rPr>
              <w:t>attend and vote at the meeting, please bring this notice with you.</w:t>
            </w:r>
          </w:p>
        </w:tc>
        <w:tc>
          <w:tcPr>
            <w:tcW w:w="2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9240" w:type="dxa"/>
            <w:vAlign w:val="bottom"/>
            <w:gridSpan w:val="3"/>
          </w:tcPr>
          <w:p>
            <w:pPr>
              <w:spacing w:after="0"/>
              <w:rPr>
                <w:sz w:val="20"/>
                <w:szCs w:val="20"/>
                <w:color w:val="auto"/>
              </w:rPr>
            </w:pPr>
            <w:r>
              <w:rPr>
                <w:rFonts w:ascii="Arial" w:cs="Arial" w:eastAsia="Arial" w:hAnsi="Arial"/>
                <w:sz w:val="3"/>
                <w:szCs w:val="3"/>
                <w:color w:val="FFFFFF"/>
              </w:rPr>
              <w:t>Her ’s how to order a copy of the proxy materials and select a future delivery preference:</w:t>
            </w:r>
          </w:p>
        </w:tc>
        <w:tc>
          <w:tcPr>
            <w:tcW w:w="2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820" w:type="dxa"/>
            <w:vAlign w:val="bottom"/>
            <w:gridSpan w:val="2"/>
          </w:tcPr>
          <w:p>
            <w:pPr>
              <w:spacing w:after="0"/>
              <w:rPr>
                <w:sz w:val="20"/>
                <w:szCs w:val="20"/>
                <w:color w:val="auto"/>
              </w:rPr>
            </w:pPr>
            <w:r>
              <w:rPr>
                <w:rFonts w:ascii="Arial" w:cs="Arial" w:eastAsia="Arial" w:hAnsi="Arial"/>
                <w:sz w:val="3"/>
                <w:szCs w:val="3"/>
                <w:color w:val="FFFFFF"/>
              </w:rPr>
              <w:t>Paper copies: Current and future paper delivery</w:t>
            </w:r>
          </w:p>
        </w:tc>
        <w:tc>
          <w:tcPr>
            <w:tcW w:w="8580" w:type="dxa"/>
            <w:vAlign w:val="bottom"/>
            <w:gridSpan w:val="2"/>
          </w:tcPr>
          <w:p>
            <w:pPr>
              <w:ind w:left="260"/>
              <w:spacing w:after="0"/>
              <w:rPr>
                <w:sz w:val="20"/>
                <w:szCs w:val="20"/>
                <w:color w:val="auto"/>
              </w:rPr>
            </w:pPr>
            <w:r>
              <w:rPr>
                <w:rFonts w:ascii="Arial" w:cs="Arial" w:eastAsia="Arial" w:hAnsi="Arial"/>
                <w:sz w:val="3"/>
                <w:szCs w:val="3"/>
                <w:color w:val="FFFFFF"/>
              </w:rPr>
              <w:t>can be submitted via the telephone, Internet or email options below. Email copies: Current and future email delivery requests must be submitted via the</w:t>
            </w:r>
          </w:p>
        </w:tc>
        <w:tc>
          <w:tcPr>
            <w:tcW w:w="0" w:type="dxa"/>
            <w:vAlign w:val="bottom"/>
          </w:tcPr>
          <w:p>
            <w:pPr>
              <w:spacing w:after="0"/>
              <w:rPr>
                <w:sz w:val="1"/>
                <w:szCs w:val="1"/>
                <w:color w:val="auto"/>
              </w:rPr>
            </w:pPr>
          </w:p>
        </w:tc>
      </w:tr>
      <w:tr>
        <w:trPr>
          <w:trHeight w:val="41"/>
        </w:trPr>
        <w:tc>
          <w:tcPr>
            <w:tcW w:w="9240" w:type="dxa"/>
            <w:vAlign w:val="bottom"/>
            <w:gridSpan w:val="3"/>
          </w:tcPr>
          <w:p>
            <w:pPr>
              <w:spacing w:after="0"/>
              <w:rPr>
                <w:sz w:val="20"/>
                <w:szCs w:val="20"/>
                <w:color w:val="auto"/>
              </w:rPr>
            </w:pPr>
            <w:r>
              <w:rPr>
                <w:rFonts w:ascii="Arial" w:cs="Arial" w:eastAsia="Arial" w:hAnsi="Arial"/>
                <w:sz w:val="3"/>
                <w:szCs w:val="3"/>
                <w:color w:val="FFFFFF"/>
              </w:rPr>
              <w:t>Internet following the instructions below. If you requests an email copy of current materials you will receive an email with a link to the materials.</w:t>
            </w:r>
          </w:p>
        </w:tc>
        <w:tc>
          <w:tcPr>
            <w:tcW w:w="2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9240" w:type="dxa"/>
            <w:vAlign w:val="bottom"/>
            <w:gridSpan w:val="3"/>
          </w:tcPr>
          <w:p>
            <w:pPr>
              <w:spacing w:after="0"/>
              <w:rPr>
                <w:sz w:val="20"/>
                <w:szCs w:val="20"/>
                <w:color w:val="auto"/>
              </w:rPr>
            </w:pPr>
            <w:r>
              <w:rPr>
                <w:rFonts w:ascii="Arial" w:cs="Arial" w:eastAsia="Arial" w:hAnsi="Arial"/>
                <w:sz w:val="3"/>
                <w:szCs w:val="3"/>
                <w:color w:val="FFFFFF"/>
              </w:rPr>
              <w:t>PLEASE NOTE: You must use the number in the shaded bar   the reverse side when requesting a set of proxy materials.</w:t>
            </w:r>
          </w:p>
        </w:tc>
        <w:tc>
          <w:tcPr>
            <w:tcW w:w="2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1400" w:type="dxa"/>
            <w:vAlign w:val="bottom"/>
            <w:gridSpan w:val="4"/>
          </w:tcPr>
          <w:p>
            <w:pPr>
              <w:spacing w:after="0"/>
              <w:rPr>
                <w:sz w:val="20"/>
                <w:szCs w:val="20"/>
                <w:color w:val="auto"/>
              </w:rPr>
            </w:pPr>
            <w:r>
              <w:rPr>
                <w:rFonts w:ascii="Arial" w:cs="Arial" w:eastAsia="Arial" w:hAnsi="Arial"/>
                <w:sz w:val="3"/>
                <w:szCs w:val="3"/>
                <w:color w:val="FFFFFF"/>
              </w:rPr>
              <w:t>3 Internet – Go to www.investorvote.com/agnc. Follow the instructions to log in and order a copy of the current meeting materials and submit your preference for email or paper delivery of future meeting</w:t>
            </w:r>
          </w:p>
        </w:tc>
        <w:tc>
          <w:tcPr>
            <w:tcW w:w="0" w:type="dxa"/>
            <w:vAlign w:val="bottom"/>
          </w:tcPr>
          <w:p>
            <w:pPr>
              <w:spacing w:after="0"/>
              <w:rPr>
                <w:sz w:val="1"/>
                <w:szCs w:val="1"/>
                <w:color w:val="auto"/>
              </w:rPr>
            </w:pPr>
          </w:p>
        </w:tc>
      </w:tr>
      <w:tr>
        <w:trPr>
          <w:trHeight w:val="41"/>
        </w:trPr>
        <w:tc>
          <w:tcPr>
            <w:tcW w:w="2820" w:type="dxa"/>
            <w:vAlign w:val="bottom"/>
            <w:gridSpan w:val="2"/>
          </w:tcPr>
          <w:p>
            <w:pPr>
              <w:spacing w:after="0"/>
              <w:rPr>
                <w:sz w:val="20"/>
                <w:szCs w:val="20"/>
                <w:color w:val="auto"/>
              </w:rPr>
            </w:pPr>
            <w:r>
              <w:rPr>
                <w:rFonts w:ascii="Arial" w:cs="Arial" w:eastAsia="Arial" w:hAnsi="Arial"/>
                <w:sz w:val="3"/>
                <w:szCs w:val="3"/>
                <w:color w:val="FFFFFF"/>
              </w:rPr>
              <w:t>materials.</w:t>
            </w:r>
          </w:p>
        </w:tc>
        <w:tc>
          <w:tcPr>
            <w:tcW w:w="6420" w:type="dxa"/>
            <w:vAlign w:val="bottom"/>
          </w:tcPr>
          <w:p>
            <w:pPr>
              <w:spacing w:after="0"/>
              <w:rPr>
                <w:sz w:val="3"/>
                <w:szCs w:val="3"/>
                <w:color w:val="auto"/>
              </w:rPr>
            </w:pPr>
          </w:p>
        </w:tc>
        <w:tc>
          <w:tcPr>
            <w:tcW w:w="2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1400" w:type="dxa"/>
            <w:vAlign w:val="bottom"/>
            <w:gridSpan w:val="4"/>
          </w:tcPr>
          <w:p>
            <w:pPr>
              <w:spacing w:after="0"/>
              <w:rPr>
                <w:sz w:val="20"/>
                <w:szCs w:val="20"/>
                <w:color w:val="auto"/>
              </w:rPr>
            </w:pPr>
            <w:r>
              <w:rPr>
                <w:rFonts w:ascii="Arial" w:cs="Arial" w:eastAsia="Arial" w:hAnsi="Arial"/>
                <w:sz w:val="3"/>
                <w:szCs w:val="3"/>
                <w:color w:val="FFFFFF"/>
              </w:rPr>
              <w:t>3 Telephone – Call us free of charge at 1-866-641-4276 and follow the instructions to log in and order a paper copy of the materials by mail for the current meeting. You can also submit a preference to receive a</w:t>
            </w:r>
          </w:p>
        </w:tc>
        <w:tc>
          <w:tcPr>
            <w:tcW w:w="0" w:type="dxa"/>
            <w:vAlign w:val="bottom"/>
          </w:tcPr>
          <w:p>
            <w:pPr>
              <w:spacing w:after="0"/>
              <w:rPr>
                <w:sz w:val="1"/>
                <w:szCs w:val="1"/>
                <w:color w:val="auto"/>
              </w:rPr>
            </w:pPr>
          </w:p>
        </w:tc>
      </w:tr>
      <w:tr>
        <w:trPr>
          <w:trHeight w:val="41"/>
        </w:trPr>
        <w:tc>
          <w:tcPr>
            <w:tcW w:w="2820" w:type="dxa"/>
            <w:vAlign w:val="bottom"/>
            <w:gridSpan w:val="2"/>
          </w:tcPr>
          <w:p>
            <w:pPr>
              <w:spacing w:after="0"/>
              <w:rPr>
                <w:sz w:val="20"/>
                <w:szCs w:val="20"/>
                <w:color w:val="auto"/>
              </w:rPr>
            </w:pPr>
            <w:r>
              <w:rPr>
                <w:rFonts w:ascii="Arial" w:cs="Arial" w:eastAsia="Arial" w:hAnsi="Arial"/>
                <w:sz w:val="3"/>
                <w:szCs w:val="3"/>
                <w:color w:val="FFFFFF"/>
              </w:rPr>
              <w:t>paper copy for future meetings.</w:t>
            </w:r>
          </w:p>
        </w:tc>
        <w:tc>
          <w:tcPr>
            <w:tcW w:w="6420" w:type="dxa"/>
            <w:vAlign w:val="bottom"/>
          </w:tcPr>
          <w:p>
            <w:pPr>
              <w:spacing w:after="0"/>
              <w:rPr>
                <w:sz w:val="3"/>
                <w:szCs w:val="3"/>
                <w:color w:val="auto"/>
              </w:rPr>
            </w:pPr>
          </w:p>
        </w:tc>
        <w:tc>
          <w:tcPr>
            <w:tcW w:w="2160" w:type="dxa"/>
            <w:vAlign w:val="bottom"/>
            <w:vMerge w:val="restart"/>
          </w:tcPr>
          <w:p>
            <w:pPr>
              <w:ind w:left="180"/>
              <w:spacing w:after="0" w:line="81" w:lineRule="exact"/>
              <w:rPr>
                <w:sz w:val="20"/>
                <w:szCs w:val="20"/>
                <w:color w:val="auto"/>
              </w:rPr>
            </w:pPr>
            <w:r>
              <w:rPr>
                <w:rFonts w:ascii="Arial" w:cs="Arial" w:eastAsia="Arial" w:hAnsi="Arial"/>
                <w:sz w:val="9"/>
                <w:szCs w:val="9"/>
                <w:color w:val="FFFFFF"/>
              </w:rPr>
              <w:t>and address, plus the number</w:t>
            </w:r>
          </w:p>
        </w:tc>
        <w:tc>
          <w:tcPr>
            <w:tcW w:w="0" w:type="dxa"/>
            <w:vAlign w:val="bottom"/>
          </w:tcPr>
          <w:p>
            <w:pPr>
              <w:spacing w:after="0"/>
              <w:rPr>
                <w:sz w:val="1"/>
                <w:szCs w:val="1"/>
                <w:color w:val="auto"/>
              </w:rPr>
            </w:pPr>
          </w:p>
        </w:tc>
      </w:tr>
      <w:tr>
        <w:trPr>
          <w:trHeight w:val="41"/>
        </w:trPr>
        <w:tc>
          <w:tcPr>
            <w:tcW w:w="9240" w:type="dxa"/>
            <w:vAlign w:val="bottom"/>
            <w:gridSpan w:val="3"/>
          </w:tcPr>
          <w:p>
            <w:pPr>
              <w:spacing w:after="0"/>
              <w:rPr>
                <w:sz w:val="20"/>
                <w:szCs w:val="20"/>
                <w:color w:val="auto"/>
              </w:rPr>
            </w:pPr>
            <w:r>
              <w:rPr>
                <w:rFonts w:ascii="Arial" w:cs="Arial" w:eastAsia="Arial" w:hAnsi="Arial"/>
                <w:sz w:val="3"/>
                <w:szCs w:val="3"/>
                <w:color w:val="FFFFFF"/>
              </w:rPr>
              <w:t>3 Email – Send email to investorvote@computershare.com with “Proxy Materials American Capital Agency Corp.” in the subject line. Include in the message your full</w:t>
            </w:r>
          </w:p>
        </w:tc>
        <w:tc>
          <w:tcPr>
            <w:tcW w:w="216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20" w:type="dxa"/>
            <w:vAlign w:val="bottom"/>
          </w:tcPr>
          <w:p>
            <w:pPr>
              <w:spacing w:after="0"/>
              <w:rPr>
                <w:sz w:val="3"/>
                <w:szCs w:val="3"/>
                <w:color w:val="auto"/>
              </w:rPr>
            </w:pPr>
          </w:p>
        </w:tc>
        <w:tc>
          <w:tcPr>
            <w:tcW w:w="11280" w:type="dxa"/>
            <w:vAlign w:val="bottom"/>
            <w:gridSpan w:val="3"/>
          </w:tcPr>
          <w:p>
            <w:pPr>
              <w:ind w:left="320"/>
              <w:spacing w:after="0"/>
              <w:rPr>
                <w:sz w:val="20"/>
                <w:szCs w:val="20"/>
                <w:color w:val="auto"/>
              </w:rPr>
            </w:pPr>
            <w:r>
              <w:rPr>
                <w:rFonts w:ascii="Arial" w:cs="Arial" w:eastAsia="Arial" w:hAnsi="Arial"/>
                <w:sz w:val="3"/>
                <w:szCs w:val="3"/>
                <w:color w:val="FFFFFF"/>
              </w:rPr>
              <w:t>in the shaded bar on the reverse side, and state in the email that you want a paper copy of current meeting materials. You can also state your preference to receivenamepaper copy for future meetings.</w:t>
            </w:r>
          </w:p>
        </w:tc>
        <w:tc>
          <w:tcPr>
            <w:tcW w:w="0" w:type="dxa"/>
            <w:vAlign w:val="bottom"/>
          </w:tcPr>
          <w:p>
            <w:pPr>
              <w:spacing w:after="0"/>
              <w:rPr>
                <w:sz w:val="1"/>
                <w:szCs w:val="1"/>
                <w:color w:val="auto"/>
              </w:rPr>
            </w:pPr>
          </w:p>
        </w:tc>
      </w:tr>
      <w:tr>
        <w:trPr>
          <w:trHeight w:val="41"/>
        </w:trPr>
        <w:tc>
          <w:tcPr>
            <w:tcW w:w="9240" w:type="dxa"/>
            <w:vAlign w:val="bottom"/>
            <w:gridSpan w:val="3"/>
          </w:tcPr>
          <w:p>
            <w:pPr>
              <w:spacing w:after="0"/>
              <w:rPr>
                <w:sz w:val="20"/>
                <w:szCs w:val="20"/>
                <w:color w:val="auto"/>
              </w:rPr>
            </w:pPr>
            <w:r>
              <w:rPr>
                <w:rFonts w:ascii="Arial" w:cs="Arial" w:eastAsia="Arial" w:hAnsi="Arial"/>
                <w:sz w:val="3"/>
                <w:szCs w:val="3"/>
                <w:color w:val="FFFFFF"/>
              </w:rPr>
              <w:t>locatedTfacilitate timely delivery, all requests for a paper copy of the proxy materials must be received by April 20, 2012.</w:t>
            </w:r>
          </w:p>
        </w:tc>
        <w:tc>
          <w:tcPr>
            <w:tcW w:w="2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2"/>
        </w:trPr>
        <w:tc>
          <w:tcPr>
            <w:tcW w:w="2820" w:type="dxa"/>
            <w:vAlign w:val="bottom"/>
            <w:gridSpan w:val="2"/>
          </w:tcPr>
          <w:p>
            <w:pPr>
              <w:spacing w:after="0"/>
              <w:rPr>
                <w:sz w:val="20"/>
                <w:szCs w:val="20"/>
                <w:color w:val="auto"/>
              </w:rPr>
            </w:pPr>
            <w:r>
              <w:rPr>
                <w:rFonts w:ascii="Arial" w:cs="Arial" w:eastAsia="Arial" w:hAnsi="Arial"/>
                <w:sz w:val="14"/>
                <w:szCs w:val="14"/>
                <w:color w:val="FFFFFF"/>
              </w:rPr>
              <w:t>01FNPA</w:t>
            </w:r>
          </w:p>
        </w:tc>
        <w:tc>
          <w:tcPr>
            <w:tcW w:w="642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1400"/>
      </w:cols>
      <w:pgMar w:left="240" w:top="1440"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2019-12-09T19:07:31Z</dcterms:created>
  <dcterms:modified xsi:type="dcterms:W3CDTF">2019-12-09T19:07:31Z</dcterms:modified>
</cp:coreProperties>
</file>