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4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2" w:lineRule="exact"/>
        <w:rPr>
          <w:sz w:val="24"/>
          <w:szCs w:val="24"/>
          <w:color w:val="auto"/>
        </w:rPr>
      </w:pPr>
    </w:p>
    <w:p>
      <w:pPr>
        <w:ind w:left="358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17" w:lineRule="exact"/>
        <w:rPr>
          <w:sz w:val="24"/>
          <w:szCs w:val="24"/>
          <w:color w:val="auto"/>
        </w:rPr>
      </w:pPr>
    </w:p>
    <w:p>
      <w:pPr>
        <w:ind w:left="362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50"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Pursuant to Section 13 or 15(d) of the Securities Exchange Act of 1934</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Date of Report (Date of earliest event reported): April 25, 2022 (April 21, 2022)</w:t>
      </w:r>
    </w:p>
    <w:p>
      <w:pPr>
        <w:spacing w:after="0" w:line="25" w:lineRule="exact"/>
        <w:rPr>
          <w:sz w:val="24"/>
          <w:szCs w:val="24"/>
          <w:color w:val="auto"/>
        </w:rPr>
      </w:pPr>
    </w:p>
    <w:p>
      <w:pPr>
        <w:ind w:left="360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6"/>
          <w:szCs w:val="36"/>
          <w:b w:val="1"/>
          <w:bCs w:val="1"/>
          <w:color w:val="auto"/>
        </w:rPr>
        <w:t>AGNC INVESTMENT CORP.</w:t>
      </w:r>
    </w:p>
    <w:p>
      <w:pPr>
        <w:sectPr>
          <w:pgSz w:w="11900" w:h="16838" w:orient="portrait"/>
          <w:cols w:equalWidth="0" w:num="1">
            <w:col w:w="11220"/>
          </w:cols>
          <w:pgMar w:left="320" w:top="1249" w:right="359" w:bottom="1440" w:gutter="0" w:footer="0" w:header="0"/>
        </w:sectPr>
      </w:pPr>
    </w:p>
    <w:p>
      <w:pPr>
        <w:spacing w:after="0" w:line="200" w:lineRule="exact"/>
        <w:rPr>
          <w:sz w:val="24"/>
          <w:szCs w:val="24"/>
          <w:color w:val="auto"/>
        </w:rPr>
      </w:pPr>
    </w:p>
    <w:p>
      <w:pPr>
        <w:spacing w:after="0" w:line="360" w:lineRule="exact"/>
        <w:rPr>
          <w:sz w:val="24"/>
          <w:szCs w:val="24"/>
          <w:color w:val="auto"/>
        </w:rPr>
      </w:pPr>
    </w:p>
    <w:p>
      <w:pPr>
        <w:jc w:val="center"/>
        <w:ind w:left="1700"/>
        <w:spacing w:after="0"/>
        <w:rPr>
          <w:sz w:val="20"/>
          <w:szCs w:val="20"/>
          <w:color w:val="auto"/>
        </w:rPr>
      </w:pPr>
      <w:r>
        <w:rPr>
          <w:rFonts w:ascii="Times New Roman" w:cs="Times New Roman" w:eastAsia="Times New Roman" w:hAnsi="Times New Roman"/>
          <w:sz w:val="16"/>
          <w:szCs w:val="16"/>
          <w:b w:val="1"/>
          <w:bCs w:val="1"/>
          <w:color w:val="auto"/>
        </w:rPr>
        <w:t>Delaware</w:t>
      </w:r>
    </w:p>
    <w:p>
      <w:pPr>
        <w:spacing w:after="0" w:line="27" w:lineRule="exact"/>
        <w:rPr>
          <w:sz w:val="24"/>
          <w:szCs w:val="24"/>
          <w:color w:val="auto"/>
        </w:rPr>
      </w:pPr>
    </w:p>
    <w:p>
      <w:pPr>
        <w:ind w:left="1740"/>
        <w:spacing w:after="0"/>
        <w:rPr>
          <w:sz w:val="20"/>
          <w:szCs w:val="20"/>
          <w:color w:val="auto"/>
        </w:rPr>
      </w:pPr>
      <w:r>
        <w:rPr>
          <w:rFonts w:ascii="Times New Roman" w:cs="Times New Roman" w:eastAsia="Times New Roman" w:hAnsi="Times New Roman"/>
          <w:sz w:val="12"/>
          <w:szCs w:val="12"/>
          <w:b w:val="1"/>
          <w:bCs w:val="1"/>
          <w:color w:val="auto"/>
        </w:rPr>
        <w:t>(State or Other Jurisdiction of</w:t>
      </w:r>
    </w:p>
    <w:p>
      <w:pPr>
        <w:ind w:left="1700"/>
        <w:spacing w:after="0"/>
        <w:rPr>
          <w:sz w:val="20"/>
          <w:szCs w:val="20"/>
          <w:color w:val="auto"/>
        </w:rPr>
      </w:pPr>
      <w:r>
        <w:rPr>
          <w:rFonts w:ascii="Times New Roman" w:cs="Times New Roman" w:eastAsia="Times New Roman" w:hAnsi="Times New Roman"/>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jc w:val="center"/>
        <w:ind w:right="3580"/>
        <w:spacing w:after="0"/>
        <w:rPr>
          <w:sz w:val="20"/>
          <w:szCs w:val="20"/>
          <w:color w:val="auto"/>
        </w:rPr>
      </w:pPr>
      <w:r>
        <w:rPr>
          <w:rFonts w:ascii="Times New Roman" w:cs="Times New Roman" w:eastAsia="Times New Roman" w:hAnsi="Times New Roman"/>
          <w:sz w:val="16"/>
          <w:szCs w:val="16"/>
          <w:b w:val="1"/>
          <w:bCs w:val="1"/>
          <w:color w:val="auto"/>
        </w:rPr>
        <w:t>(Exact name of registrant as specified in its charter)</w:t>
      </w:r>
    </w:p>
    <w:p>
      <w:pPr>
        <w:spacing w:after="0" w:line="5"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134" w:lineRule="exact"/>
        <w:rPr>
          <w:sz w:val="24"/>
          <w:szCs w:val="24"/>
          <w:color w:val="auto"/>
        </w:rPr>
      </w:pPr>
    </w:p>
    <w:tbl>
      <w:tblPr>
        <w:tblLayout w:type="fixed"/>
        <w:tblInd w:w="1280" w:type="dxa"/>
        <w:tblCellMar>
          <w:top w:w="0" w:type="dxa"/>
          <w:left w:w="0" w:type="dxa"/>
          <w:bottom w:w="0" w:type="dxa"/>
          <w:right w:w="0" w:type="dxa"/>
        </w:tblCellMar>
      </w:tblPr>
      <w:tr>
        <w:trPr>
          <w:trHeight w:val="212"/>
        </w:trPr>
        <w:tc>
          <w:tcPr>
            <w:tcW w:w="2380" w:type="dxa"/>
            <w:vAlign w:val="bottom"/>
          </w:tcPr>
          <w:p>
            <w:pPr>
              <w:jc w:val="right"/>
              <w:ind w:right="1228"/>
              <w:spacing w:after="0"/>
              <w:rPr>
                <w:sz w:val="20"/>
                <w:szCs w:val="20"/>
                <w:color w:val="auto"/>
              </w:rPr>
            </w:pPr>
            <w:r>
              <w:rPr>
                <w:rFonts w:ascii="Times New Roman" w:cs="Times New Roman" w:eastAsia="Times New Roman" w:hAnsi="Times New Roman"/>
                <w:sz w:val="16"/>
                <w:szCs w:val="16"/>
                <w:b w:val="1"/>
                <w:bCs w:val="1"/>
                <w:color w:val="auto"/>
              </w:rPr>
              <w:t>001-34057</w:t>
            </w:r>
          </w:p>
        </w:tc>
        <w:tc>
          <w:tcPr>
            <w:tcW w:w="1920" w:type="dxa"/>
            <w:vAlign w:val="bottom"/>
          </w:tcPr>
          <w:p>
            <w:pPr>
              <w:jc w:val="center"/>
              <w:ind w:left="871"/>
              <w:spacing w:after="0"/>
              <w:rPr>
                <w:sz w:val="20"/>
                <w:szCs w:val="20"/>
                <w:color w:val="auto"/>
              </w:rPr>
            </w:pPr>
            <w:r>
              <w:rPr>
                <w:rFonts w:ascii="Times New Roman" w:cs="Times New Roman" w:eastAsia="Times New Roman" w:hAnsi="Times New Roman"/>
                <w:sz w:val="16"/>
                <w:szCs w:val="16"/>
                <w:b w:val="1"/>
                <w:bCs w:val="1"/>
                <w:color w:val="auto"/>
              </w:rPr>
              <w:t>26-1701984</w:t>
            </w:r>
          </w:p>
        </w:tc>
      </w:tr>
      <w:tr>
        <w:trPr>
          <w:trHeight w:val="128"/>
        </w:trPr>
        <w:tc>
          <w:tcPr>
            <w:tcW w:w="2380" w:type="dxa"/>
            <w:vAlign w:val="bottom"/>
          </w:tcPr>
          <w:p>
            <w:pPr>
              <w:spacing w:after="0"/>
              <w:rPr>
                <w:sz w:val="11"/>
                <w:szCs w:val="11"/>
                <w:color w:val="auto"/>
              </w:rPr>
            </w:pPr>
          </w:p>
        </w:tc>
        <w:tc>
          <w:tcPr>
            <w:tcW w:w="1920" w:type="dxa"/>
            <w:vAlign w:val="bottom"/>
          </w:tcPr>
          <w:p>
            <w:pPr>
              <w:jc w:val="center"/>
              <w:ind w:left="851"/>
              <w:spacing w:after="0" w:line="128" w:lineRule="exact"/>
              <w:rPr>
                <w:sz w:val="20"/>
                <w:szCs w:val="20"/>
                <w:color w:val="auto"/>
              </w:rPr>
            </w:pPr>
            <w:r>
              <w:rPr>
                <w:rFonts w:ascii="Times New Roman" w:cs="Times New Roman" w:eastAsia="Times New Roman" w:hAnsi="Times New Roman"/>
                <w:sz w:val="13"/>
                <w:szCs w:val="13"/>
                <w:b w:val="1"/>
                <w:bCs w:val="1"/>
                <w:color w:val="auto"/>
                <w:w w:val="97"/>
              </w:rPr>
              <w:t>(I.R.S. Employer</w:t>
            </w:r>
          </w:p>
        </w:tc>
      </w:tr>
      <w:tr>
        <w:trPr>
          <w:trHeight w:val="173"/>
        </w:trPr>
        <w:tc>
          <w:tcPr>
            <w:tcW w:w="2380" w:type="dxa"/>
            <w:vAlign w:val="bottom"/>
          </w:tcPr>
          <w:p>
            <w:pPr>
              <w:jc w:val="center"/>
              <w:ind w:right="848"/>
              <w:spacing w:after="0"/>
              <w:rPr>
                <w:sz w:val="20"/>
                <w:szCs w:val="20"/>
                <w:color w:val="auto"/>
              </w:rPr>
            </w:pPr>
            <w:r>
              <w:rPr>
                <w:rFonts w:ascii="Times New Roman" w:cs="Times New Roman" w:eastAsia="Times New Roman" w:hAnsi="Times New Roman"/>
                <w:sz w:val="13"/>
                <w:szCs w:val="13"/>
                <w:b w:val="1"/>
                <w:bCs w:val="1"/>
                <w:color w:val="auto"/>
                <w:w w:val="96"/>
              </w:rPr>
              <w:t>(Commission File Number)</w:t>
            </w:r>
          </w:p>
        </w:tc>
        <w:tc>
          <w:tcPr>
            <w:tcW w:w="1920" w:type="dxa"/>
            <w:vAlign w:val="bottom"/>
          </w:tcPr>
          <w:p>
            <w:pPr>
              <w:jc w:val="center"/>
              <w:ind w:left="851"/>
              <w:spacing w:after="0"/>
              <w:rPr>
                <w:sz w:val="20"/>
                <w:szCs w:val="20"/>
                <w:color w:val="auto"/>
              </w:rPr>
            </w:pPr>
            <w:r>
              <w:rPr>
                <w:rFonts w:ascii="Times New Roman" w:cs="Times New Roman" w:eastAsia="Times New Roman" w:hAnsi="Times New Roman"/>
                <w:sz w:val="13"/>
                <w:szCs w:val="13"/>
                <w:b w:val="1"/>
                <w:bCs w:val="1"/>
                <w:color w:val="auto"/>
                <w:w w:val="98"/>
              </w:rPr>
              <w:t>Identification No.)</w:t>
            </w:r>
          </w:p>
        </w:tc>
      </w:tr>
    </w:tbl>
    <w:p>
      <w:pPr>
        <w:spacing w:after="0" w:line="135" w:lineRule="exact"/>
        <w:rPr>
          <w:sz w:val="24"/>
          <w:szCs w:val="24"/>
          <w:color w:val="auto"/>
        </w:rPr>
      </w:pPr>
    </w:p>
    <w:p>
      <w:pPr>
        <w:sectPr>
          <w:pgSz w:w="11900" w:h="16838" w:orient="portrait"/>
          <w:cols w:equalWidth="0" w:num="2">
            <w:col w:w="3400" w:space="200"/>
            <w:col w:w="7620"/>
          </w:cols>
          <w:pgMar w:left="320" w:top="1249" w:right="359" w:bottom="1440" w:gutter="0" w:footer="0" w:header="0"/>
          <w:type w:val="continuous"/>
        </w:sect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2 Bethesda Metro Center, 12th Floor</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Bethesda, Maryland 20814</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(Address of principal executive offices)</w:t>
      </w:r>
    </w:p>
    <w:p>
      <w:pPr>
        <w:spacing w:after="0" w:line="22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Registrant’s telephone number, including area code:</w:t>
      </w:r>
    </w:p>
    <w:p>
      <w:pPr>
        <w:spacing w:after="0" w:line="1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(301) 968-9300</w:t>
      </w:r>
    </w:p>
    <w:p>
      <w:pPr>
        <w:spacing w:after="0" w:line="24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N/A</w:t>
      </w:r>
    </w:p>
    <w:p>
      <w:pPr>
        <w:spacing w:after="0" w:line="1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182" w:lineRule="exact"/>
        <w:rPr>
          <w:sz w:val="24"/>
          <w:szCs w:val="24"/>
          <w:color w:val="auto"/>
        </w:rPr>
      </w:pPr>
    </w:p>
    <w:p>
      <w:pPr>
        <w:spacing w:after="0"/>
        <w:rPr>
          <w:sz w:val="20"/>
          <w:szCs w:val="20"/>
          <w:color w:val="auto"/>
        </w:rPr>
      </w:pPr>
      <w:r>
        <w:rPr>
          <w:rFonts w:ascii="Times New Roman" w:cs="Times New Roman" w:eastAsia="Times New Roman" w:hAnsi="Times New Roman"/>
          <w:sz w:val="13"/>
          <w:szCs w:val="13"/>
          <w:color w:val="auto"/>
        </w:rPr>
        <w:t>Check the appropriate box below if the Form 8-K filing is intended to simultaneously satisfy the filing obligation of the registrant under any of the following provisions:</w:t>
      </w:r>
    </w:p>
    <w:p>
      <w:pPr>
        <w:spacing w:after="0" w:line="154"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Written communications pursuant to Rule 425 under the Securities Act (17 CFR 230.425)</w:t>
      </w:r>
    </w:p>
    <w:p>
      <w:pPr>
        <w:spacing w:after="0" w:line="12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Soliciting material pursuant to Rule 14a-12 under the Exchange Act (17 CFR 240.14a-12)</w:t>
      </w:r>
    </w:p>
    <w:p>
      <w:pPr>
        <w:spacing w:after="0" w:line="16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 xml:space="preserve">Pre-commencement communications pursuant to Rule 14d-2(b) under the Exchange Act </w:t>
      </w:r>
      <w:r>
        <w:rPr>
          <w:rFonts w:ascii="Times New Roman" w:cs="Times New Roman" w:eastAsia="Times New Roman" w:hAnsi="Times New Roman"/>
          <w:sz w:val="13"/>
          <w:szCs w:val="13"/>
          <w:i w:val="1"/>
          <w:iCs w:val="1"/>
          <w:color w:val="auto"/>
        </w:rPr>
        <w:t>(</w:t>
      </w:r>
      <w:r>
        <w:rPr>
          <w:rFonts w:ascii="Times New Roman" w:cs="Times New Roman" w:eastAsia="Times New Roman" w:hAnsi="Times New Roman"/>
          <w:sz w:val="13"/>
          <w:szCs w:val="13"/>
          <w:color w:val="auto"/>
        </w:rPr>
        <w:t>17 CFR 240.14d-2(b))</w:t>
      </w:r>
    </w:p>
    <w:p>
      <w:pPr>
        <w:spacing w:after="0" w:line="107"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Pre-commencement communications pursuant to Rule 13e-4(c) under the Exchange Act (17 CFR 240.13e-4(c))</w:t>
      </w:r>
    </w:p>
    <w:p>
      <w:pPr>
        <w:spacing w:after="0" w:line="263" w:lineRule="exact"/>
        <w:rPr>
          <w:sz w:val="24"/>
          <w:szCs w:val="24"/>
          <w:color w:val="auto"/>
        </w:rPr>
      </w:pPr>
    </w:p>
    <w:tbl>
      <w:tblPr>
        <w:tblLayout w:type="fixed"/>
        <w:tblInd w:w="0" w:type="dxa"/>
        <w:tblCellMar>
          <w:top w:w="0" w:type="dxa"/>
          <w:left w:w="0" w:type="dxa"/>
          <w:bottom w:w="0" w:type="dxa"/>
          <w:right w:w="0" w:type="dxa"/>
        </w:tblCellMar>
      </w:tblPr>
      <w:tr>
        <w:trPr>
          <w:trHeight w:val="164"/>
        </w:trPr>
        <w:tc>
          <w:tcPr>
            <w:tcW w:w="5260" w:type="dxa"/>
            <w:vAlign w:val="bottom"/>
            <w:gridSpan w:val="4"/>
          </w:tcPr>
          <w:p>
            <w:pPr>
              <w:spacing w:after="0"/>
              <w:rPr>
                <w:sz w:val="20"/>
                <w:szCs w:val="20"/>
                <w:color w:val="auto"/>
              </w:rPr>
            </w:pPr>
            <w:r>
              <w:rPr>
                <w:rFonts w:ascii="Times New Roman" w:cs="Times New Roman" w:eastAsia="Times New Roman" w:hAnsi="Times New Roman"/>
                <w:sz w:val="13"/>
                <w:szCs w:val="13"/>
                <w:color w:val="auto"/>
              </w:rPr>
              <w:t>Securities registered pursuant to Section 12(b) of the Act:</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Times New Roman" w:cs="Times New Roman" w:eastAsia="Times New Roman" w:hAnsi="Times New Roman"/>
                <w:sz w:val="13"/>
                <w:szCs w:val="13"/>
                <w:b w:val="1"/>
                <w:bCs w:val="1"/>
                <w:color w:val="auto"/>
                <w:w w:val="97"/>
              </w:rPr>
              <w:t>Title of Each Class</w:t>
            </w:r>
          </w:p>
        </w:tc>
        <w:tc>
          <w:tcPr>
            <w:tcW w:w="168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w w:val="95"/>
              </w:rPr>
              <w:t>Trading Symbol(s)</w:t>
            </w:r>
          </w:p>
        </w:tc>
        <w:tc>
          <w:tcPr>
            <w:tcW w:w="4280" w:type="dxa"/>
            <w:vAlign w:val="bottom"/>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Name of Exchange on Which Registered</w:t>
            </w: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1460" w:type="dxa"/>
            <w:vAlign w:val="bottom"/>
            <w:tcBorders>
              <w:top w:val="single" w:sz="8" w:color="auto"/>
            </w:tcBorders>
          </w:tcPr>
          <w:p>
            <w:pPr>
              <w:spacing w:after="0"/>
              <w:rPr>
                <w:sz w:val="14"/>
                <w:szCs w:val="14"/>
                <w:color w:val="auto"/>
              </w:rPr>
            </w:pPr>
          </w:p>
        </w:tc>
        <w:tc>
          <w:tcPr>
            <w:tcW w:w="3660" w:type="dxa"/>
            <w:vAlign w:val="bottom"/>
            <w:tcBorders>
              <w:top w:val="single" w:sz="8" w:color="auto"/>
            </w:tcBorders>
          </w:tcPr>
          <w:p>
            <w:pPr>
              <w:jc w:val="center"/>
              <w:ind w:right="1437"/>
              <w:spacing w:after="0"/>
              <w:rPr>
                <w:sz w:val="20"/>
                <w:szCs w:val="20"/>
                <w:color w:val="auto"/>
              </w:rPr>
            </w:pPr>
            <w:r>
              <w:rPr>
                <w:rFonts w:ascii="Times New Roman" w:cs="Times New Roman" w:eastAsia="Times New Roman" w:hAnsi="Times New Roman"/>
                <w:sz w:val="13"/>
                <w:szCs w:val="13"/>
                <w:color w:val="auto"/>
                <w:w w:val="96"/>
              </w:rPr>
              <w:t>Common Stock, par value $0.01 per share</w:t>
            </w:r>
          </w:p>
        </w:tc>
        <w:tc>
          <w:tcPr>
            <w:tcW w:w="100" w:type="dxa"/>
            <w:vAlign w:val="bottom"/>
          </w:tcPr>
          <w:p>
            <w:pPr>
              <w:spacing w:after="0"/>
              <w:rPr>
                <w:sz w:val="14"/>
                <w:szCs w:val="14"/>
                <w:color w:val="auto"/>
              </w:rPr>
            </w:pPr>
          </w:p>
        </w:tc>
        <w:tc>
          <w:tcPr>
            <w:tcW w:w="1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AGNC</w:t>
            </w:r>
          </w:p>
        </w:tc>
        <w:tc>
          <w:tcPr>
            <w:tcW w:w="100" w:type="dxa"/>
            <w:vAlign w:val="bottom"/>
          </w:tcPr>
          <w:p>
            <w:pPr>
              <w:spacing w:after="0"/>
              <w:rPr>
                <w:sz w:val="14"/>
                <w:szCs w:val="14"/>
                <w:color w:val="auto"/>
              </w:rPr>
            </w:pPr>
          </w:p>
        </w:tc>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2" w:lineRule="exact"/>
              <w:rPr>
                <w:sz w:val="20"/>
                <w:szCs w:val="20"/>
                <w:color w:val="auto"/>
              </w:rPr>
            </w:pPr>
            <w:r>
              <w:rPr>
                <w:rFonts w:ascii="Times New Roman" w:cs="Times New Roman" w:eastAsia="Times New Roman" w:hAnsi="Times New Roman"/>
                <w:sz w:val="13"/>
                <w:szCs w:val="13"/>
                <w:color w:val="auto"/>
                <w:w w:val="96"/>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AGNCN</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AGNCM</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4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AGNCO</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AGNCP</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9"/>
        </w:trPr>
        <w:tc>
          <w:tcPr>
            <w:tcW w:w="11220" w:type="dxa"/>
            <w:vAlign w:val="bottom"/>
            <w:gridSpan w:val="7"/>
          </w:tcPr>
          <w:p>
            <w:pPr>
              <w:ind w:left="20"/>
              <w:spacing w:after="0"/>
              <w:rPr>
                <w:sz w:val="20"/>
                <w:szCs w:val="20"/>
                <w:color w:val="auto"/>
              </w:rPr>
            </w:pPr>
            <w:r>
              <w:rPr>
                <w:rFonts w:ascii="Times New Roman" w:cs="Times New Roman" w:eastAsia="Times New Roman" w:hAnsi="Times New Roman"/>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4"/>
        </w:trPr>
        <w:tc>
          <w:tcPr>
            <w:tcW w:w="5260" w:type="dxa"/>
            <w:vAlign w:val="bottom"/>
            <w:gridSpan w:val="4"/>
          </w:tcPr>
          <w:p>
            <w:pPr>
              <w:ind w:left="20"/>
              <w:spacing w:after="0"/>
              <w:rPr>
                <w:sz w:val="20"/>
                <w:szCs w:val="20"/>
                <w:color w:val="auto"/>
              </w:rPr>
            </w:pPr>
            <w:r>
              <w:rPr>
                <w:rFonts w:ascii="Times New Roman" w:cs="Times New Roman" w:eastAsia="Times New Roman" w:hAnsi="Times New Roman"/>
                <w:sz w:val="13"/>
                <w:szCs w:val="13"/>
                <w:color w:val="auto"/>
              </w:rPr>
              <w:t>Securities Exchange Act of 1934 (§240.12b-2 of this chapter).</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150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w w:val="98"/>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5" w:lineRule="exact"/>
        <w:rPr>
          <w:sz w:val="24"/>
          <w:szCs w:val="24"/>
          <w:color w:val="auto"/>
        </w:rPr>
      </w:pPr>
    </w:p>
    <w:p>
      <w:pPr>
        <w:ind w:right="300"/>
        <w:spacing w:after="0" w:line="285" w:lineRule="auto"/>
        <w:rPr>
          <w:sz w:val="20"/>
          <w:szCs w:val="20"/>
          <w:color w:val="auto"/>
        </w:rPr>
      </w:pPr>
      <w:r>
        <w:rPr>
          <w:rFonts w:ascii="Times New Roman" w:cs="Times New Roman" w:eastAsia="Times New Roman" w:hAnsi="Times New Roman"/>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w:cs="Arial" w:eastAsia="Arial" w:hAnsi="Arial"/>
          <w:sz w:val="13"/>
          <w:szCs w:val="13"/>
          <w:color w:val="auto"/>
        </w:rPr>
        <w: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716280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102870</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68580</wp:posOffset>
            </wp:positionV>
            <wp:extent cx="5854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ectPr>
          <w:pgSz w:w="11900" w:h="16838" w:orient="portrait"/>
          <w:cols w:equalWidth="0" w:num="1">
            <w:col w:w="11220"/>
          </w:cols>
          <w:pgMar w:left="320" w:top="1249" w:right="35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5.07. Submission of Matters to a Vote of Security Holders.</w:t>
      </w:r>
    </w:p>
    <w:p>
      <w:pPr>
        <w:spacing w:after="0" w:line="229"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On April 21, 2022, AGNC Investment Corp. (the “Company”) held its 2022 Annual Meeting of Stockholders (the “Annual Meeting”). The record date for the Annual Meeting was February 25, 2022. As of the record date, a total of 522,740,325 shares of the Company’s common stock, par value $0.01 (“Common Stock”), were entitled to vote at the Annual Meeting. There were 377,397,816 shares of Common Stock present in person or by proxy at the Annual Meeting. Set forth below are the matters acted upon by the common stockholders and the final voting results of each such proposal.</w:t>
      </w:r>
    </w:p>
    <w:p>
      <w:pPr>
        <w:spacing w:after="0" w:line="207" w:lineRule="exact"/>
        <w:rPr>
          <w:sz w:val="20"/>
          <w:szCs w:val="20"/>
          <w:color w:val="auto"/>
        </w:rPr>
      </w:pPr>
    </w:p>
    <w:p>
      <w:pPr>
        <w:ind w:right="320" w:firstLine="8"/>
        <w:spacing w:after="0" w:line="282" w:lineRule="auto"/>
        <w:tabs>
          <w:tab w:leader="none" w:pos="31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Election of Directors. The Company’s common stockholders voted to elect nine (9) Director Nominees to hold office for a term of one (1) year and until his or her successor is duly elected and qualified.</w:t>
      </w:r>
    </w:p>
    <w:p>
      <w:pPr>
        <w:spacing w:after="0" w:line="77" w:lineRule="exact"/>
        <w:rPr>
          <w:sz w:val="20"/>
          <w:szCs w:val="20"/>
          <w:color w:val="auto"/>
        </w:rPr>
      </w:pPr>
    </w:p>
    <w:tbl>
      <w:tblPr>
        <w:tblLayout w:type="fixed"/>
        <w:tblInd w:w="360" w:type="dxa"/>
        <w:tblCellMar>
          <w:top w:w="0" w:type="dxa"/>
          <w:left w:w="0" w:type="dxa"/>
          <w:bottom w:w="0" w:type="dxa"/>
          <w:right w:w="0" w:type="dxa"/>
        </w:tblCellMar>
      </w:tblPr>
      <w:tr>
        <w:trPr>
          <w:trHeight w:val="233"/>
        </w:trPr>
        <w:tc>
          <w:tcPr>
            <w:tcW w:w="24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Nominee</w:t>
            </w:r>
          </w:p>
        </w:tc>
        <w:tc>
          <w:tcPr>
            <w:tcW w:w="2360" w:type="dxa"/>
            <w:vAlign w:val="bottom"/>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For</w:t>
            </w:r>
          </w:p>
        </w:tc>
        <w:tc>
          <w:tcPr>
            <w:tcW w:w="2260" w:type="dxa"/>
            <w:vAlign w:val="bottom"/>
          </w:tcPr>
          <w:p>
            <w:pPr>
              <w:jc w:val="right"/>
              <w:ind w:right="630"/>
              <w:spacing w:after="0"/>
              <w:rPr>
                <w:sz w:val="20"/>
                <w:szCs w:val="20"/>
                <w:color w:val="auto"/>
              </w:rPr>
            </w:pPr>
            <w:r>
              <w:rPr>
                <w:rFonts w:ascii="Times New Roman" w:cs="Times New Roman" w:eastAsia="Times New Roman" w:hAnsi="Times New Roman"/>
                <w:sz w:val="18"/>
                <w:szCs w:val="18"/>
                <w:b w:val="1"/>
                <w:bCs w:val="1"/>
                <w:color w:val="auto"/>
              </w:rPr>
              <w:t>Against</w:t>
            </w:r>
          </w:p>
        </w:tc>
        <w:tc>
          <w:tcPr>
            <w:tcW w:w="198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Abstain</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Non Votes</w:t>
            </w:r>
          </w:p>
        </w:tc>
      </w:tr>
      <w:tr>
        <w:trPr>
          <w:trHeight w:val="229"/>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Donna J. Blank</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232,816,943</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3,883,585</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1,841,594</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30"/>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Morris A. Davis</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219,848,996</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16,813,411</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1,879,715</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29"/>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Peter J. Federico</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233,046,165</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3,590,470</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1,905,487</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30"/>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John D. Fisk</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230,540,433</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6,117,950</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1,883,739</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29"/>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Andrew A. Johnson, Jr.</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233,141,240</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3,493,608</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1,907,274</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29"/>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Gary D. Kain</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227,939,448</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8,582,063</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2,020,611</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30"/>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Prue B. Larocca</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230,003,808</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6,645,265</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1,893,049</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29"/>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Paul E. Mullings</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230,877,273</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5,764,070</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1,900,779</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r>
        <w:trPr>
          <w:trHeight w:val="234"/>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Frances R. Spark</w:t>
            </w:r>
          </w:p>
        </w:tc>
        <w:tc>
          <w:tcPr>
            <w:tcW w:w="236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232,908,349</w:t>
            </w:r>
          </w:p>
        </w:tc>
        <w:tc>
          <w:tcPr>
            <w:tcW w:w="2260" w:type="dxa"/>
            <w:vAlign w:val="bottom"/>
          </w:tcPr>
          <w:p>
            <w:pPr>
              <w:jc w:val="right"/>
              <w:ind w:right="690"/>
              <w:spacing w:after="0"/>
              <w:rPr>
                <w:sz w:val="20"/>
                <w:szCs w:val="20"/>
                <w:color w:val="auto"/>
              </w:rPr>
            </w:pPr>
            <w:r>
              <w:rPr>
                <w:rFonts w:ascii="Times New Roman" w:cs="Times New Roman" w:eastAsia="Times New Roman" w:hAnsi="Times New Roman"/>
                <w:sz w:val="18"/>
                <w:szCs w:val="18"/>
                <w:color w:val="auto"/>
              </w:rPr>
              <w:t>3,709,076</w:t>
            </w:r>
          </w:p>
        </w:tc>
        <w:tc>
          <w:tcPr>
            <w:tcW w:w="198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1,924,697</w:t>
            </w: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138,855,694</w:t>
            </w:r>
          </w:p>
        </w:tc>
      </w:tr>
    </w:tbl>
    <w:p>
      <w:pPr>
        <w:spacing w:after="0" w:line="306" w:lineRule="exact"/>
        <w:rPr>
          <w:sz w:val="20"/>
          <w:szCs w:val="20"/>
          <w:color w:val="auto"/>
        </w:rPr>
      </w:pPr>
    </w:p>
    <w:p>
      <w:pPr>
        <w:ind w:right="460" w:firstLine="8"/>
        <w:spacing w:after="0" w:line="282" w:lineRule="auto"/>
        <w:tabs>
          <w:tab w:leader="none" w:pos="31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Executive Compensation. The Company’s common stockholders voted on an advisory and non-binding basis in favor of approval of the advisory resolution on executive compensation.</w:t>
      </w:r>
    </w:p>
    <w:p>
      <w:pPr>
        <w:sectPr>
          <w:pgSz w:w="11900" w:h="16838" w:orient="portrait"/>
          <w:cols w:equalWidth="0" w:num="1">
            <w:col w:w="11240"/>
          </w:cols>
          <w:pgMar w:left="320" w:top="887" w:right="339" w:bottom="1440" w:gutter="0" w:footer="0" w:header="0"/>
        </w:sectPr>
      </w:pPr>
    </w:p>
    <w:p>
      <w:pPr>
        <w:spacing w:after="0" w:line="77" w:lineRule="exact"/>
        <w:rPr>
          <w:sz w:val="20"/>
          <w:szCs w:val="20"/>
          <w:color w:val="auto"/>
        </w:rPr>
      </w:pPr>
    </w:p>
    <w:p>
      <w:pPr>
        <w:jc w:val="center"/>
        <w:ind w:left="48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31" w:lineRule="exact"/>
        <w:rPr>
          <w:sz w:val="20"/>
          <w:szCs w:val="20"/>
          <w:color w:val="auto"/>
        </w:rPr>
      </w:pPr>
    </w:p>
    <w:p>
      <w:pPr>
        <w:jc w:val="center"/>
        <w:ind w:left="480"/>
        <w:spacing w:after="0"/>
        <w:rPr>
          <w:sz w:val="20"/>
          <w:szCs w:val="20"/>
          <w:color w:val="auto"/>
        </w:rPr>
      </w:pPr>
      <w:r>
        <w:rPr>
          <w:rFonts w:ascii="Times New Roman" w:cs="Times New Roman" w:eastAsia="Times New Roman" w:hAnsi="Times New Roman"/>
          <w:sz w:val="18"/>
          <w:szCs w:val="18"/>
          <w:color w:val="auto"/>
        </w:rPr>
        <w:t>213,840,966</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jc w:val="center"/>
        <w:ind w:right="500"/>
        <w:spacing w:after="0"/>
        <w:rPr>
          <w:sz w:val="20"/>
          <w:szCs w:val="20"/>
          <w:color w:val="auto"/>
        </w:rPr>
      </w:pPr>
      <w:r>
        <w:rPr>
          <w:rFonts w:ascii="Times New Roman" w:cs="Times New Roman" w:eastAsia="Times New Roman" w:hAnsi="Times New Roman"/>
          <w:sz w:val="18"/>
          <w:szCs w:val="18"/>
          <w:b w:val="1"/>
          <w:bCs w:val="1"/>
          <w:color w:val="auto"/>
        </w:rPr>
        <w:t>Against</w:t>
      </w:r>
    </w:p>
    <w:p>
      <w:pPr>
        <w:spacing w:after="0" w:line="31" w:lineRule="exact"/>
        <w:rPr>
          <w:sz w:val="20"/>
          <w:szCs w:val="20"/>
          <w:color w:val="auto"/>
        </w:rPr>
      </w:pPr>
    </w:p>
    <w:p>
      <w:pPr>
        <w:jc w:val="center"/>
        <w:ind w:right="500"/>
        <w:spacing w:after="0"/>
        <w:rPr>
          <w:sz w:val="20"/>
          <w:szCs w:val="20"/>
          <w:color w:val="auto"/>
        </w:rPr>
      </w:pPr>
      <w:r>
        <w:rPr>
          <w:rFonts w:ascii="Times New Roman" w:cs="Times New Roman" w:eastAsia="Times New Roman" w:hAnsi="Times New Roman"/>
          <w:sz w:val="18"/>
          <w:szCs w:val="18"/>
          <w:color w:val="auto"/>
        </w:rPr>
        <w:t>21,258,234</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Abstain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3,442,922</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Non Votes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138,855,694</w:t>
      </w:r>
    </w:p>
    <w:p>
      <w:pPr>
        <w:spacing w:after="0" w:line="200" w:lineRule="exact"/>
        <w:rPr>
          <w:sz w:val="20"/>
          <w:szCs w:val="20"/>
          <w:color w:val="auto"/>
        </w:rPr>
      </w:pPr>
    </w:p>
    <w:p>
      <w:pPr>
        <w:sectPr>
          <w:pgSz w:w="11900" w:h="16838" w:orient="portrait"/>
          <w:cols w:equalWidth="0" w:num="4">
            <w:col w:w="2260" w:space="720"/>
            <w:col w:w="1320" w:space="720"/>
            <w:col w:w="1020" w:space="720"/>
            <w:col w:w="4480"/>
          </w:cols>
          <w:pgMar w:left="320" w:top="887" w:right="339" w:bottom="1440" w:gutter="0" w:footer="0" w:header="0"/>
          <w:type w:val="continuous"/>
        </w:sectPr>
      </w:pPr>
    </w:p>
    <w:p>
      <w:pPr>
        <w:spacing w:after="0" w:line="142" w:lineRule="exact"/>
        <w:rPr>
          <w:sz w:val="20"/>
          <w:szCs w:val="20"/>
          <w:color w:val="auto"/>
        </w:rPr>
      </w:pPr>
    </w:p>
    <w:p>
      <w:pPr>
        <w:ind w:right="240" w:firstLine="8"/>
        <w:spacing w:after="0" w:line="282" w:lineRule="auto"/>
        <w:tabs>
          <w:tab w:leader="none" w:pos="31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Ratification of appointment of Ernst &amp; Young LLP. The Company’s common stockholders voted to ratify the appointment of Ernst &amp; Young LLP as the Company’s independent public accountant for the year ending December 31, 2022.</w:t>
      </w:r>
    </w:p>
    <w:p>
      <w:pPr>
        <w:sectPr>
          <w:pgSz w:w="11900" w:h="16838" w:orient="portrait"/>
          <w:cols w:equalWidth="0" w:num="1">
            <w:col w:w="11240"/>
          </w:cols>
          <w:pgMar w:left="320" w:top="887" w:right="339" w:bottom="1440" w:gutter="0" w:footer="0" w:header="0"/>
          <w:type w:val="continuous"/>
        </w:sectPr>
      </w:pPr>
    </w:p>
    <w:p>
      <w:pPr>
        <w:spacing w:after="0" w:line="63" w:lineRule="exact"/>
        <w:rPr>
          <w:sz w:val="20"/>
          <w:szCs w:val="20"/>
          <w:color w:val="auto"/>
        </w:rPr>
      </w:pPr>
    </w:p>
    <w:p>
      <w:pPr>
        <w:jc w:val="center"/>
        <w:ind w:left="42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31" w:lineRule="exact"/>
        <w:rPr>
          <w:sz w:val="20"/>
          <w:szCs w:val="20"/>
          <w:color w:val="auto"/>
        </w:rPr>
      </w:pPr>
    </w:p>
    <w:p>
      <w:pPr>
        <w:jc w:val="center"/>
        <w:ind w:left="420"/>
        <w:spacing w:after="0"/>
        <w:rPr>
          <w:sz w:val="20"/>
          <w:szCs w:val="20"/>
          <w:color w:val="auto"/>
        </w:rPr>
      </w:pPr>
      <w:r>
        <w:rPr>
          <w:rFonts w:ascii="Times New Roman" w:cs="Times New Roman" w:eastAsia="Times New Roman" w:hAnsi="Times New Roman"/>
          <w:sz w:val="18"/>
          <w:szCs w:val="18"/>
          <w:color w:val="auto"/>
        </w:rPr>
        <w:t>370,370,771</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Against</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4,916,177</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Abstain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2,110,868</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jc w:val="center"/>
        <w:ind w:right="3580"/>
        <w:spacing w:after="0"/>
        <w:rPr>
          <w:sz w:val="20"/>
          <w:szCs w:val="20"/>
          <w:color w:val="auto"/>
        </w:rPr>
      </w:pPr>
      <w:r>
        <w:rPr>
          <w:rFonts w:ascii="Times New Roman" w:cs="Times New Roman" w:eastAsia="Times New Roman" w:hAnsi="Times New Roman"/>
          <w:sz w:val="17"/>
          <w:szCs w:val="17"/>
          <w:b w:val="1"/>
          <w:bCs w:val="1"/>
          <w:color w:val="auto"/>
        </w:rPr>
        <w:t>Non Votes</w:t>
      </w:r>
    </w:p>
    <w:p>
      <w:pPr>
        <w:spacing w:after="0" w:line="43" w:lineRule="exact"/>
        <w:rPr>
          <w:sz w:val="20"/>
          <w:szCs w:val="20"/>
          <w:color w:val="auto"/>
        </w:rPr>
      </w:pPr>
    </w:p>
    <w:p>
      <w:pPr>
        <w:jc w:val="center"/>
        <w:ind w:right="3580"/>
        <w:spacing w:after="0"/>
        <w:rPr>
          <w:sz w:val="20"/>
          <w:szCs w:val="20"/>
          <w:color w:val="auto"/>
        </w:rPr>
      </w:pPr>
      <w:r>
        <w:rPr>
          <w:rFonts w:ascii="Times New Roman" w:cs="Times New Roman" w:eastAsia="Times New Roman" w:hAnsi="Times New Roman"/>
          <w:sz w:val="18"/>
          <w:szCs w:val="18"/>
          <w:color w:val="auto"/>
        </w:rPr>
        <w:t>—</w:t>
      </w:r>
    </w:p>
    <w:p>
      <w:pPr>
        <w:spacing w:after="0" w:line="200" w:lineRule="exact"/>
        <w:rPr>
          <w:sz w:val="20"/>
          <w:szCs w:val="20"/>
          <w:color w:val="auto"/>
        </w:rPr>
      </w:pPr>
    </w:p>
    <w:p>
      <w:pPr>
        <w:sectPr>
          <w:pgSz w:w="11900" w:h="16838" w:orient="portrait"/>
          <w:cols w:equalWidth="0" w:num="4">
            <w:col w:w="2360" w:space="720"/>
            <w:col w:w="1280" w:space="720"/>
            <w:col w:w="1080" w:space="720"/>
            <w:col w:w="4360"/>
          </w:cols>
          <w:pgMar w:left="320" w:top="887" w:right="339" w:bottom="1440" w:gutter="0" w:footer="0" w:header="0"/>
          <w:type w:val="continuous"/>
        </w:sectPr>
      </w:pPr>
    </w:p>
    <w:p>
      <w:pPr>
        <w:spacing w:after="0" w:line="317" w:lineRule="exact"/>
        <w:rPr>
          <w:sz w:val="20"/>
          <w:szCs w:val="20"/>
          <w:color w:val="auto"/>
        </w:rPr>
      </w:pPr>
    </w:p>
    <w:p>
      <w:pPr>
        <w:ind w:right="40" w:firstLine="8"/>
        <w:spacing w:after="0" w:line="266" w:lineRule="auto"/>
        <w:tabs>
          <w:tab w:leader="none" w:pos="30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Amendments to Certificate of Incorporation. The Company’s common stockholders did not approve proposed amendments to AGNC Investment Corp.'s Amended and Restated Certificate of Incorporation (the "Certificate of Incorporation") to eliminate supermajority voting requirements. Approval of each item required the affirmative vote of the holders of 66% of all shares of the Company's Common Stock entitled to vote at the Annual Meeting.</w:t>
      </w:r>
    </w:p>
    <w:p>
      <w:pPr>
        <w:spacing w:after="0" w:line="54"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4A: The Company's stockholders did not approve amendments to remove the supermajority voting standard for certain amendments to our</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Certificate of Incorporation with the following votes:</w:t>
      </w:r>
    </w:p>
    <w:p>
      <w:pPr>
        <w:sectPr>
          <w:pgSz w:w="11900" w:h="16838" w:orient="portrait"/>
          <w:cols w:equalWidth="0" w:num="1">
            <w:col w:w="11240"/>
          </w:cols>
          <w:pgMar w:left="320" w:top="887" w:right="339" w:bottom="1440" w:gutter="0" w:footer="0" w:header="0"/>
          <w:type w:val="continuous"/>
        </w:sectPr>
      </w:pPr>
    </w:p>
    <w:p>
      <w:pPr>
        <w:spacing w:after="0" w:line="122" w:lineRule="exact"/>
        <w:rPr>
          <w:sz w:val="20"/>
          <w:szCs w:val="20"/>
          <w:color w:val="auto"/>
        </w:rPr>
      </w:pPr>
    </w:p>
    <w:p>
      <w:pPr>
        <w:jc w:val="center"/>
        <w:ind w:left="60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31" w:lineRule="exact"/>
        <w:rPr>
          <w:sz w:val="20"/>
          <w:szCs w:val="20"/>
          <w:color w:val="auto"/>
        </w:rPr>
      </w:pPr>
    </w:p>
    <w:p>
      <w:pPr>
        <w:jc w:val="center"/>
        <w:ind w:left="600"/>
        <w:spacing w:after="0"/>
        <w:rPr>
          <w:sz w:val="20"/>
          <w:szCs w:val="20"/>
          <w:color w:val="auto"/>
        </w:rPr>
      </w:pPr>
      <w:r>
        <w:rPr>
          <w:rFonts w:ascii="Times New Roman" w:cs="Times New Roman" w:eastAsia="Times New Roman" w:hAnsi="Times New Roman"/>
          <w:sz w:val="18"/>
          <w:szCs w:val="18"/>
          <w:color w:val="auto"/>
        </w:rPr>
        <w:t>229,878,901</w:t>
      </w:r>
    </w:p>
    <w:p>
      <w:pPr>
        <w:spacing w:after="0" w:line="20" w:lineRule="exact"/>
        <w:rPr>
          <w:sz w:val="20"/>
          <w:szCs w:val="20"/>
          <w:color w:val="auto"/>
        </w:rPr>
      </w:pPr>
      <w:r>
        <w:rPr>
          <w:sz w:val="20"/>
          <w:szCs w:val="20"/>
          <w:color w:val="auto"/>
        </w:rPr>
        <w:br w:type="column"/>
      </w:r>
    </w:p>
    <w:p>
      <w:pPr>
        <w:spacing w:after="0" w:line="10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Against</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6,258,452</w:t>
      </w:r>
    </w:p>
    <w:p>
      <w:pPr>
        <w:spacing w:after="0" w:line="20" w:lineRule="exact"/>
        <w:rPr>
          <w:sz w:val="20"/>
          <w:szCs w:val="20"/>
          <w:color w:val="auto"/>
        </w:rPr>
      </w:pPr>
      <w:r>
        <w:rPr>
          <w:sz w:val="20"/>
          <w:szCs w:val="20"/>
          <w:color w:val="auto"/>
        </w:rPr>
        <w:br w:type="column"/>
      </w:r>
    </w:p>
    <w:p>
      <w:pPr>
        <w:spacing w:after="0" w:line="10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Abstain</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2,404,769</w:t>
      </w:r>
    </w:p>
    <w:p>
      <w:pPr>
        <w:spacing w:after="0" w:line="20" w:lineRule="exact"/>
        <w:rPr>
          <w:sz w:val="20"/>
          <w:szCs w:val="20"/>
          <w:color w:val="auto"/>
        </w:rPr>
      </w:pPr>
      <w:r>
        <w:rPr>
          <w:sz w:val="20"/>
          <w:szCs w:val="20"/>
          <w:color w:val="auto"/>
        </w:rPr>
        <w:br w:type="column"/>
      </w:r>
    </w:p>
    <w:p>
      <w:pPr>
        <w:spacing w:after="0" w:line="10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Non Votes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138,855,694</w:t>
      </w:r>
    </w:p>
    <w:p>
      <w:pPr>
        <w:spacing w:after="0" w:line="200" w:lineRule="exact"/>
        <w:rPr>
          <w:sz w:val="20"/>
          <w:szCs w:val="20"/>
          <w:color w:val="auto"/>
        </w:rPr>
      </w:pPr>
    </w:p>
    <w:p>
      <w:pPr>
        <w:sectPr>
          <w:pgSz w:w="11900" w:h="16838" w:orient="portrait"/>
          <w:cols w:equalWidth="0" w:num="4">
            <w:col w:w="2460" w:space="720"/>
            <w:col w:w="1240" w:space="720"/>
            <w:col w:w="1000" w:space="720"/>
            <w:col w:w="4380"/>
          </w:cols>
          <w:pgMar w:left="320" w:top="887" w:right="339" w:bottom="1440" w:gutter="0" w:footer="0" w:header="0"/>
          <w:type w:val="continuous"/>
        </w:sectPr>
      </w:pPr>
    </w:p>
    <w:p>
      <w:pPr>
        <w:spacing w:after="0" w:line="223" w:lineRule="exact"/>
        <w:rPr>
          <w:sz w:val="20"/>
          <w:szCs w:val="20"/>
          <w:color w:val="auto"/>
        </w:rPr>
      </w:pPr>
    </w:p>
    <w:p>
      <w:pPr>
        <w:ind w:left="500" w:right="100"/>
        <w:spacing w:after="0" w:line="282" w:lineRule="auto"/>
        <w:rPr>
          <w:sz w:val="20"/>
          <w:szCs w:val="20"/>
          <w:color w:val="auto"/>
        </w:rPr>
      </w:pPr>
      <w:r>
        <w:rPr>
          <w:rFonts w:ascii="Times New Roman" w:cs="Times New Roman" w:eastAsia="Times New Roman" w:hAnsi="Times New Roman"/>
          <w:sz w:val="18"/>
          <w:szCs w:val="18"/>
          <w:color w:val="auto"/>
        </w:rPr>
        <w:t>4B: The Company's stockholders did not approve amendments to remove the supermajority voting standard for amendments to our Bylaws with the following votes:</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580" w:type="dxa"/>
            <w:vAlign w:val="bottom"/>
          </w:tcPr>
          <w:p>
            <w:pPr>
              <w:jc w:val="center"/>
              <w:ind w:left="370"/>
              <w:spacing w:after="0"/>
              <w:rPr>
                <w:sz w:val="20"/>
                <w:szCs w:val="20"/>
                <w:color w:val="auto"/>
              </w:rPr>
            </w:pPr>
            <w:r>
              <w:rPr>
                <w:rFonts w:ascii="Times New Roman" w:cs="Times New Roman" w:eastAsia="Times New Roman" w:hAnsi="Times New Roman"/>
                <w:sz w:val="18"/>
                <w:szCs w:val="18"/>
                <w:b w:val="1"/>
                <w:bCs w:val="1"/>
                <w:color w:val="auto"/>
                <w:w w:val="99"/>
              </w:rPr>
              <w:t>For</w:t>
            </w:r>
          </w:p>
        </w:tc>
        <w:tc>
          <w:tcPr>
            <w:tcW w:w="19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Against</w:t>
            </w:r>
          </w:p>
        </w:tc>
        <w:tc>
          <w:tcPr>
            <w:tcW w:w="184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Abstain</w:t>
            </w:r>
          </w:p>
        </w:tc>
        <w:tc>
          <w:tcPr>
            <w:tcW w:w="4880" w:type="dxa"/>
            <w:vAlign w:val="bottom"/>
          </w:tcPr>
          <w:p>
            <w:pPr>
              <w:jc w:val="center"/>
              <w:ind w:right="2890"/>
              <w:spacing w:after="0"/>
              <w:rPr>
                <w:sz w:val="20"/>
                <w:szCs w:val="20"/>
                <w:color w:val="auto"/>
              </w:rPr>
            </w:pPr>
            <w:r>
              <w:rPr>
                <w:rFonts w:ascii="Times New Roman" w:cs="Times New Roman" w:eastAsia="Times New Roman" w:hAnsi="Times New Roman"/>
                <w:sz w:val="18"/>
                <w:szCs w:val="18"/>
                <w:b w:val="1"/>
                <w:bCs w:val="1"/>
                <w:color w:val="auto"/>
                <w:w w:val="98"/>
              </w:rPr>
              <w:t>Non Votes</w:t>
            </w:r>
          </w:p>
        </w:tc>
      </w:tr>
      <w:tr>
        <w:trPr>
          <w:trHeight w:val="234"/>
        </w:trPr>
        <w:tc>
          <w:tcPr>
            <w:tcW w:w="258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229,814,264</w:t>
            </w:r>
          </w:p>
        </w:tc>
        <w:tc>
          <w:tcPr>
            <w:tcW w:w="1940" w:type="dxa"/>
            <w:vAlign w:val="bottom"/>
          </w:tcPr>
          <w:p>
            <w:pPr>
              <w:jc w:val="right"/>
              <w:ind w:right="530"/>
              <w:spacing w:after="0"/>
              <w:rPr>
                <w:sz w:val="20"/>
                <w:szCs w:val="20"/>
                <w:color w:val="auto"/>
              </w:rPr>
            </w:pPr>
            <w:r>
              <w:rPr>
                <w:rFonts w:ascii="Times New Roman" w:cs="Times New Roman" w:eastAsia="Times New Roman" w:hAnsi="Times New Roman"/>
                <w:sz w:val="18"/>
                <w:szCs w:val="18"/>
                <w:color w:val="auto"/>
              </w:rPr>
              <w:t>6,289,179</w:t>
            </w:r>
          </w:p>
        </w:tc>
        <w:tc>
          <w:tcPr>
            <w:tcW w:w="184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rPr>
              <w:t>2,438,679</w:t>
            </w:r>
          </w:p>
        </w:tc>
        <w:tc>
          <w:tcPr>
            <w:tcW w:w="4880" w:type="dxa"/>
            <w:vAlign w:val="bottom"/>
          </w:tcPr>
          <w:p>
            <w:pPr>
              <w:jc w:val="right"/>
              <w:ind w:right="3390"/>
              <w:spacing w:after="0"/>
              <w:rPr>
                <w:sz w:val="20"/>
                <w:szCs w:val="20"/>
                <w:color w:val="auto"/>
              </w:rPr>
            </w:pPr>
            <w:r>
              <w:rPr>
                <w:rFonts w:ascii="Times New Roman" w:cs="Times New Roman" w:eastAsia="Times New Roman" w:hAnsi="Times New Roman"/>
                <w:sz w:val="18"/>
                <w:szCs w:val="18"/>
                <w:color w:val="auto"/>
              </w:rPr>
              <w:t>138,855,694</w:t>
            </w:r>
          </w:p>
        </w:tc>
      </w:tr>
      <w:tr>
        <w:trPr>
          <w:trHeight w:val="1640"/>
        </w:trPr>
        <w:tc>
          <w:tcPr>
            <w:tcW w:w="2580" w:type="dxa"/>
            <w:vAlign w:val="bottom"/>
            <w:tcBorders>
              <w:bottom w:val="single" w:sz="8" w:color="9A9A9A"/>
            </w:tcBorders>
          </w:tcPr>
          <w:p>
            <w:pPr>
              <w:spacing w:after="0"/>
              <w:rPr>
                <w:sz w:val="24"/>
                <w:szCs w:val="24"/>
                <w:color w:val="auto"/>
              </w:rPr>
            </w:pPr>
          </w:p>
        </w:tc>
        <w:tc>
          <w:tcPr>
            <w:tcW w:w="1940" w:type="dxa"/>
            <w:vAlign w:val="bottom"/>
            <w:tcBorders>
              <w:bottom w:val="single" w:sz="8" w:color="9A9A9A"/>
            </w:tcBorders>
          </w:tcPr>
          <w:p>
            <w:pPr>
              <w:spacing w:after="0"/>
              <w:rPr>
                <w:sz w:val="24"/>
                <w:szCs w:val="24"/>
                <w:color w:val="auto"/>
              </w:rPr>
            </w:pPr>
          </w:p>
        </w:tc>
        <w:tc>
          <w:tcPr>
            <w:tcW w:w="1840" w:type="dxa"/>
            <w:vAlign w:val="bottom"/>
            <w:tcBorders>
              <w:bottom w:val="single" w:sz="8" w:color="9A9A9A"/>
            </w:tcBorders>
          </w:tcPr>
          <w:p>
            <w:pPr>
              <w:spacing w:after="0"/>
              <w:rPr>
                <w:sz w:val="24"/>
                <w:szCs w:val="24"/>
                <w:color w:val="auto"/>
              </w:rPr>
            </w:pPr>
          </w:p>
        </w:tc>
        <w:tc>
          <w:tcPr>
            <w:tcW w:w="48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type w:val="continuous"/>
        </w:sectPr>
      </w:pPr>
    </w:p>
    <w:bookmarkStart w:id="2" w:name="page3"/>
    <w:bookmarkEnd w:id="2"/>
    <w:p>
      <w:pPr>
        <w:ind w:left="500"/>
        <w:spacing w:after="0" w:line="282" w:lineRule="auto"/>
        <w:rPr>
          <w:sz w:val="20"/>
          <w:szCs w:val="20"/>
          <w:color w:val="auto"/>
        </w:rPr>
      </w:pPr>
      <w:r>
        <w:rPr>
          <w:rFonts w:ascii="Times New Roman" w:cs="Times New Roman" w:eastAsia="Times New Roman" w:hAnsi="Times New Roman"/>
          <w:sz w:val="18"/>
          <w:szCs w:val="18"/>
          <w:color w:val="auto"/>
        </w:rPr>
        <w:t>4C: The Company's stockholders did not approve amendments to remove the supermajority voting standard for removal of directors with the following votes:</w:t>
      </w:r>
    </w:p>
    <w:p>
      <w:pPr>
        <w:sectPr>
          <w:pgSz w:w="11900" w:h="16838" w:orient="portrait"/>
          <w:cols w:equalWidth="0" w:num="1">
            <w:col w:w="10640"/>
          </w:cols>
          <w:pgMar w:left="320" w:top="1309" w:right="939" w:bottom="1440" w:gutter="0" w:footer="0" w:header="0"/>
        </w:sectPr>
      </w:pPr>
    </w:p>
    <w:p>
      <w:pPr>
        <w:spacing w:after="0" w:line="77"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18"/>
          <w:szCs w:val="18"/>
          <w:b w:val="1"/>
          <w:bCs w:val="1"/>
          <w:color w:val="auto"/>
        </w:rPr>
        <w:t>For</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Against</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Abstain</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Non Votes</w:t>
      </w:r>
    </w:p>
    <w:p>
      <w:pPr>
        <w:spacing w:after="0" w:line="42" w:lineRule="exact"/>
        <w:rPr>
          <w:sz w:val="20"/>
          <w:szCs w:val="20"/>
          <w:color w:val="auto"/>
        </w:rPr>
      </w:pPr>
    </w:p>
    <w:p>
      <w:pPr>
        <w:sectPr>
          <w:pgSz w:w="11900" w:h="16838" w:orient="portrait"/>
          <w:cols w:equalWidth="0" w:num="4">
            <w:col w:w="2520" w:space="720"/>
            <w:col w:w="1240" w:space="720"/>
            <w:col w:w="1000" w:space="720"/>
            <w:col w:w="3720"/>
          </w:cols>
          <w:pgMar w:left="320" w:top="1309" w:right="939" w:bottom="1440" w:gutter="0" w:footer="0" w:header="0"/>
          <w:type w:val="continuous"/>
        </w:sectPr>
      </w:pPr>
    </w:p>
    <w:p>
      <w:pPr>
        <w:ind w:left="1080"/>
        <w:spacing w:after="0"/>
        <w:rPr>
          <w:sz w:val="20"/>
          <w:szCs w:val="20"/>
          <w:color w:val="auto"/>
        </w:rPr>
      </w:pPr>
      <w:r>
        <w:rPr>
          <w:rFonts w:ascii="Times New Roman" w:cs="Times New Roman" w:eastAsia="Times New Roman" w:hAnsi="Times New Roman"/>
          <w:sz w:val="18"/>
          <w:szCs w:val="18"/>
          <w:color w:val="auto"/>
        </w:rPr>
        <w:t>230,692,372</w:t>
      </w:r>
    </w:p>
    <w:p>
      <w:pPr>
        <w:spacing w:after="0" w:line="20" w:lineRule="exact"/>
        <w:rPr>
          <w:sz w:val="20"/>
          <w:szCs w:val="20"/>
          <w:color w:val="auto"/>
        </w:rPr>
      </w:pPr>
      <w:r>
        <w:rPr>
          <w:sz w:val="20"/>
          <w:szCs w:val="20"/>
          <w:color w:val="auto"/>
        </w:rPr>
        <w:br w:type="column"/>
      </w:r>
    </w:p>
    <w:p>
      <w:pPr>
        <w:jc w:val="center"/>
        <w:ind w:right="520"/>
        <w:spacing w:after="0"/>
        <w:rPr>
          <w:sz w:val="20"/>
          <w:szCs w:val="20"/>
          <w:color w:val="auto"/>
        </w:rPr>
      </w:pPr>
      <w:r>
        <w:rPr>
          <w:rFonts w:ascii="Times New Roman" w:cs="Times New Roman" w:eastAsia="Times New Roman" w:hAnsi="Times New Roman"/>
          <w:sz w:val="18"/>
          <w:szCs w:val="18"/>
          <w:color w:val="auto"/>
        </w:rPr>
        <w:t>5,749,357</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2,100,393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138,855,694</w:t>
      </w:r>
    </w:p>
    <w:p>
      <w:pPr>
        <w:spacing w:after="0" w:line="200" w:lineRule="exact"/>
        <w:rPr>
          <w:sz w:val="20"/>
          <w:szCs w:val="20"/>
          <w:color w:val="auto"/>
        </w:rPr>
      </w:pPr>
    </w:p>
    <w:p>
      <w:pPr>
        <w:sectPr>
          <w:pgSz w:w="11900" w:h="16838" w:orient="portrait"/>
          <w:cols w:equalWidth="0" w:num="4">
            <w:col w:w="2460" w:space="720"/>
            <w:col w:w="1240" w:space="720"/>
            <w:col w:w="1000" w:space="720"/>
            <w:col w:w="3780"/>
          </w:cols>
          <w:pgMar w:left="320" w:top="1309" w:right="939" w:bottom="1440" w:gutter="0" w:footer="0" w:header="0"/>
          <w:type w:val="continuous"/>
        </w:sectPr>
      </w:pPr>
    </w:p>
    <w:p>
      <w:pPr>
        <w:spacing w:after="0" w:line="385" w:lineRule="exact"/>
        <w:rPr>
          <w:sz w:val="20"/>
          <w:szCs w:val="20"/>
          <w:color w:val="auto"/>
        </w:rPr>
      </w:pPr>
    </w:p>
    <w:p>
      <w:pPr>
        <w:ind w:left="260" w:hanging="252"/>
        <w:spacing w:after="0"/>
        <w:tabs>
          <w:tab w:leader="none" w:pos="26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Exhibits.</w:t>
      </w:r>
    </w:p>
    <w:p>
      <w:pPr>
        <w:spacing w:after="0" w:line="263" w:lineRule="exact"/>
        <w:rPr>
          <w:rFonts w:ascii="Times New Roman" w:cs="Times New Roman" w:eastAsia="Times New Roman" w:hAnsi="Times New Roman"/>
          <w:sz w:val="17"/>
          <w:szCs w:val="17"/>
          <w:color w:val="auto"/>
        </w:rPr>
      </w:pPr>
    </w:p>
    <w:p>
      <w:pPr>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699135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40"/>
          </w:cols>
          <w:pgMar w:left="320" w:top="1309" w:right="939" w:bottom="1440" w:gutter="0" w:footer="0" w:header="0"/>
          <w:type w:val="continuous"/>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56" w:lineRule="exact"/>
        <w:rPr>
          <w:sz w:val="20"/>
          <w:szCs w:val="20"/>
          <w:color w:val="auto"/>
        </w:rPr>
      </w:pPr>
    </w:p>
    <w:p>
      <w:pPr>
        <w:ind w:right="440" w:firstLine="445"/>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20"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30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AGNC INVESTMENT CORP.</w:t>
            </w:r>
          </w:p>
        </w:tc>
      </w:tr>
      <w:tr>
        <w:trPr>
          <w:trHeight w:val="283"/>
        </w:trPr>
        <w:tc>
          <w:tcPr>
            <w:tcW w:w="3000" w:type="dxa"/>
            <w:vAlign w:val="bottom"/>
          </w:tcPr>
          <w:p>
            <w:pPr>
              <w:spacing w:after="0"/>
              <w:rPr>
                <w:sz w:val="20"/>
                <w:szCs w:val="20"/>
                <w:color w:val="auto"/>
              </w:rPr>
            </w:pPr>
            <w:r>
              <w:rPr>
                <w:rFonts w:ascii="Times New Roman" w:cs="Times New Roman" w:eastAsia="Times New Roman" w:hAnsi="Times New Roman"/>
                <w:sz w:val="18"/>
                <w:szCs w:val="18"/>
                <w:color w:val="auto"/>
              </w:rPr>
              <w:t>Dated: April 25, 2022</w:t>
            </w:r>
          </w:p>
        </w:tc>
        <w:tc>
          <w:tcPr>
            <w:tcW w:w="8180" w:type="dxa"/>
            <w:vAlign w:val="bottom"/>
            <w:gridSpan w:val="2"/>
          </w:tcPr>
          <w:p>
            <w:pPr>
              <w:ind w:left="1420"/>
              <w:spacing w:after="0"/>
              <w:rPr>
                <w:sz w:val="20"/>
                <w:szCs w:val="20"/>
                <w:color w:val="auto"/>
              </w:rPr>
            </w:pPr>
            <w:r>
              <w:rPr>
                <w:rFonts w:ascii="Times New Roman" w:cs="Times New Roman" w:eastAsia="Times New Roman" w:hAnsi="Times New Roman"/>
                <w:sz w:val="18"/>
                <w:szCs w:val="18"/>
                <w:color w:val="auto"/>
              </w:rPr>
              <w:t>By:   /s/ Kenneth L. Pollack</w:t>
            </w:r>
          </w:p>
        </w:tc>
      </w:tr>
      <w:tr>
        <w:trPr>
          <w:trHeight w:val="218"/>
        </w:trPr>
        <w:tc>
          <w:tcPr>
            <w:tcW w:w="300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62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Kenneth L. Pollack</w:t>
            </w:r>
          </w:p>
        </w:tc>
      </w:tr>
      <w:tr>
        <w:trPr>
          <w:trHeight w:val="234"/>
        </w:trPr>
        <w:tc>
          <w:tcPr>
            <w:tcW w:w="30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Executive Vice President, Chief Compliance Officer, General Counsel and Secretary</w:t>
            </w:r>
          </w:p>
        </w:tc>
      </w:tr>
    </w:tbl>
    <w:p>
      <w:pPr>
        <w:spacing w:after="0" w:line="1" w:lineRule="exact"/>
        <w:rPr>
          <w:sz w:val="20"/>
          <w:szCs w:val="20"/>
          <w:color w:val="auto"/>
        </w:rPr>
      </w:pPr>
    </w:p>
    <w:sectPr>
      <w:pgSz w:w="11900" w:h="16838" w:orient="portrait"/>
      <w:cols w:equalWidth="0" w:num="1">
        <w:col w:w="11220"/>
      </w:cols>
      <w:pgMar w:left="320" w:top="887"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2"/>
    </w:lvl>
  </w:abstractNum>
  <w:abstractNum w:abstractNumId="2">
    <w:nsid w:val="625558EC"/>
    <w:multiLevelType w:val="hybridMultilevel"/>
    <w:lvl w:ilvl="0">
      <w:lvlJc w:val="left"/>
      <w:lvlText w:val="%1."/>
      <w:numFmt w:val="decimal"/>
      <w:start w:val="3"/>
    </w:lvl>
  </w:abstractNum>
  <w:abstractNum w:abstractNumId="3">
    <w:nsid w:val="238E1F29"/>
    <w:multiLevelType w:val="hybridMultilevel"/>
    <w:lvl w:ilvl="0">
      <w:lvlJc w:val="left"/>
      <w:lvlText w:val="%1."/>
      <w:numFmt w:val="decimal"/>
      <w:start w:val="4"/>
    </w:lvl>
  </w:abstractNum>
  <w:abstractNum w:abstractNumId="4">
    <w:nsid w:val="46E87CCD"/>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2022-04-25T10:20:16Z</dcterms:created>
  <dcterms:modified xsi:type="dcterms:W3CDTF">2022-04-25T10:20:16Z</dcterms:modified>
</cp:coreProperties>
</file>